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04CF" w14:textId="6DB00378" w:rsidR="00061B48" w:rsidRPr="00AF22B9" w:rsidRDefault="006251CE" w:rsidP="00AF22B9">
      <w:pPr>
        <w:spacing w:line="360" w:lineRule="auto"/>
        <w:jc w:val="both"/>
        <w:rPr>
          <w:rFonts w:ascii="Arial" w:hAnsi="Arial" w:cs="Arial"/>
        </w:rPr>
      </w:pPr>
      <w:r>
        <w:rPr>
          <w:rFonts w:ascii="Arial" w:hAnsi="Arial" w:cs="Arial"/>
        </w:rPr>
        <w:t xml:space="preserve">LOS PRECIOS DE TRANSFERENCIA USADOS EN PARTES RELACIONAS Y SUS SEMEJANZAS CON LA HIPÓTESIS TE ARTICULO 69-B DEL </w:t>
      </w:r>
      <w:proofErr w:type="spellStart"/>
      <w:r>
        <w:rPr>
          <w:rFonts w:ascii="Arial" w:hAnsi="Arial" w:cs="Arial"/>
        </w:rPr>
        <w:t>CFF</w:t>
      </w:r>
      <w:proofErr w:type="spellEnd"/>
      <w:r w:rsidR="003903DB" w:rsidRPr="00AF22B9">
        <w:rPr>
          <w:rFonts w:ascii="Arial" w:hAnsi="Arial" w:cs="Arial"/>
        </w:rPr>
        <w:t>.</w:t>
      </w:r>
    </w:p>
    <w:p w14:paraId="0F1F493A" w14:textId="31C6A8A5" w:rsidR="00061B48" w:rsidRDefault="006251CE" w:rsidP="00AF22B9">
      <w:pPr>
        <w:spacing w:line="360" w:lineRule="auto"/>
        <w:jc w:val="both"/>
        <w:rPr>
          <w:rFonts w:ascii="Arial" w:hAnsi="Arial" w:cs="Arial"/>
          <w:lang w:val="en-US"/>
        </w:rPr>
      </w:pP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TRANSFER </w:t>
      </w:r>
      <w:proofErr w:type="spellStart"/>
      <w:r>
        <w:rPr>
          <w:rFonts w:ascii="Arial" w:hAnsi="Arial" w:cs="Arial"/>
          <w:color w:val="212121"/>
          <w:shd w:val="clear" w:color="auto" w:fill="FFFFFF"/>
        </w:rPr>
        <w:t>PRICES</w:t>
      </w:r>
      <w:proofErr w:type="spellEnd"/>
      <w:r>
        <w:rPr>
          <w:rFonts w:ascii="Arial" w:hAnsi="Arial" w:cs="Arial"/>
          <w:color w:val="212121"/>
          <w:shd w:val="clear" w:color="auto" w:fill="FFFFFF"/>
        </w:rPr>
        <w:t xml:space="preserve"> USED IN </w:t>
      </w:r>
      <w:proofErr w:type="spellStart"/>
      <w:r>
        <w:rPr>
          <w:rFonts w:ascii="Arial" w:hAnsi="Arial" w:cs="Arial"/>
          <w:color w:val="212121"/>
          <w:shd w:val="clear" w:color="auto" w:fill="FFFFFF"/>
        </w:rPr>
        <w:t>RELATED</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PARTIES</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THEIR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LIKENESS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WITH</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ARTICLE</w:t>
      </w:r>
      <w:proofErr w:type="spellEnd"/>
      <w:r>
        <w:rPr>
          <w:rFonts w:ascii="Arial" w:hAnsi="Arial" w:cs="Arial"/>
          <w:color w:val="212121"/>
          <w:shd w:val="clear" w:color="auto" w:fill="FFFFFF"/>
        </w:rPr>
        <w:t xml:space="preserve"> 69-B </w:t>
      </w:r>
      <w:proofErr w:type="spellStart"/>
      <w:r>
        <w:rPr>
          <w:rFonts w:ascii="Arial" w:hAnsi="Arial" w:cs="Arial"/>
          <w:color w:val="212121"/>
          <w:shd w:val="clear" w:color="auto" w:fill="FFFFFF"/>
        </w:rPr>
        <w:t>HYPOTHESIS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OF</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THE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CFF</w:t>
      </w:r>
      <w:proofErr w:type="spellEnd"/>
    </w:p>
    <w:p w14:paraId="3DDF9126" w14:textId="77777777" w:rsidR="004F4852" w:rsidRPr="008005AB" w:rsidRDefault="004F4852" w:rsidP="00AF22B9">
      <w:pPr>
        <w:spacing w:line="360" w:lineRule="auto"/>
        <w:jc w:val="both"/>
        <w:rPr>
          <w:rFonts w:ascii="Arial" w:hAnsi="Arial" w:cs="Arial"/>
          <w:lang w:val="en-US"/>
        </w:rPr>
      </w:pPr>
    </w:p>
    <w:p w14:paraId="3E48E93F" w14:textId="448A9437" w:rsidR="00061B48" w:rsidRDefault="00482A70" w:rsidP="00AF22B9">
      <w:pPr>
        <w:spacing w:line="360" w:lineRule="auto"/>
        <w:jc w:val="both"/>
        <w:rPr>
          <w:rFonts w:ascii="Arial" w:hAnsi="Arial" w:cs="Arial"/>
        </w:rPr>
      </w:pPr>
      <w:r w:rsidRPr="00AF22B9">
        <w:rPr>
          <w:rFonts w:ascii="Arial" w:hAnsi="Arial" w:cs="Arial"/>
        </w:rPr>
        <w:t xml:space="preserve">Alan Omar Del Rio Ortiz., </w:t>
      </w:r>
      <w:r w:rsidR="006251CE">
        <w:rPr>
          <w:rFonts w:ascii="Arial" w:hAnsi="Arial" w:cs="Arial"/>
        </w:rPr>
        <w:t xml:space="preserve">Maestro en Impuestos, </w:t>
      </w:r>
      <w:r w:rsidRPr="00AF22B9">
        <w:rPr>
          <w:rFonts w:ascii="Arial" w:hAnsi="Arial" w:cs="Arial"/>
        </w:rPr>
        <w:t>Co</w:t>
      </w:r>
      <w:r w:rsidR="00061B48" w:rsidRPr="00AF22B9">
        <w:rPr>
          <w:rFonts w:ascii="Arial" w:hAnsi="Arial" w:cs="Arial"/>
        </w:rPr>
        <w:t xml:space="preserve">ntador </w:t>
      </w:r>
      <w:r w:rsidRPr="00AF22B9">
        <w:rPr>
          <w:rFonts w:ascii="Arial" w:hAnsi="Arial" w:cs="Arial"/>
        </w:rPr>
        <w:t>Público Certificado y Licenciado en D</w:t>
      </w:r>
      <w:r w:rsidR="00061B48" w:rsidRPr="00AF22B9">
        <w:rPr>
          <w:rFonts w:ascii="Arial" w:hAnsi="Arial" w:cs="Arial"/>
        </w:rPr>
        <w:t xml:space="preserve">erecho, socio ejecutivo del despacho </w:t>
      </w:r>
      <w:r w:rsidRPr="00AF22B9">
        <w:rPr>
          <w:rFonts w:ascii="Arial" w:hAnsi="Arial" w:cs="Arial"/>
        </w:rPr>
        <w:t>jurídico</w:t>
      </w:r>
      <w:r w:rsidR="00061B48" w:rsidRPr="00AF22B9">
        <w:rPr>
          <w:rFonts w:ascii="Arial" w:hAnsi="Arial" w:cs="Arial"/>
        </w:rPr>
        <w:t xml:space="preserve"> contable DEL RIO CONSULTORES EMPRESARIALES. </w:t>
      </w:r>
      <w:hyperlink r:id="rId8" w:history="1">
        <w:r w:rsidR="00AF22B9" w:rsidRPr="007326B8">
          <w:rPr>
            <w:rStyle w:val="Hipervnculo"/>
            <w:rFonts w:ascii="Arial" w:hAnsi="Arial" w:cs="Arial"/>
          </w:rPr>
          <w:t>delrioconsultores@yahoo.com.mx</w:t>
        </w:r>
      </w:hyperlink>
      <w:r w:rsidR="00061B48" w:rsidRPr="00AF22B9">
        <w:rPr>
          <w:rFonts w:ascii="Arial" w:hAnsi="Arial" w:cs="Arial"/>
        </w:rPr>
        <w:t>.</w:t>
      </w:r>
      <w:r w:rsidR="002C4F63">
        <w:rPr>
          <w:rFonts w:ascii="Arial" w:hAnsi="Arial" w:cs="Arial"/>
        </w:rPr>
        <w:t xml:space="preserve"> Socio activo del Colegio de Contadores Públicos de Michoacán, presidente de la Comisión local de Precios, miembro de la Comisión Regional Centro Occidente de Precisos de Transferencia. </w:t>
      </w:r>
    </w:p>
    <w:p w14:paraId="5367D90A" w14:textId="77777777" w:rsidR="008005AB" w:rsidRDefault="008005AB" w:rsidP="00AF22B9">
      <w:pPr>
        <w:spacing w:line="360" w:lineRule="auto"/>
        <w:jc w:val="both"/>
        <w:rPr>
          <w:rFonts w:ascii="Arial" w:hAnsi="Arial" w:cs="Arial"/>
        </w:rPr>
      </w:pPr>
    </w:p>
    <w:p w14:paraId="5BF99A48" w14:textId="71060108" w:rsidR="006251CE" w:rsidRDefault="008005AB" w:rsidP="00AF22B9">
      <w:pPr>
        <w:spacing w:line="360" w:lineRule="auto"/>
        <w:jc w:val="both"/>
        <w:rPr>
          <w:rFonts w:ascii="Arial" w:hAnsi="Arial" w:cs="Arial"/>
          <w:color w:val="000000" w:themeColor="text1"/>
          <w:shd w:val="clear" w:color="auto" w:fill="FFFFFF"/>
        </w:rPr>
      </w:pPr>
      <w:r>
        <w:rPr>
          <w:rFonts w:ascii="Arial" w:hAnsi="Arial" w:cs="Arial"/>
        </w:rPr>
        <w:t xml:space="preserve">Con la entrada en vigor de la nueva Ley del Impuesto Sobre la Renta </w:t>
      </w:r>
      <w:r w:rsidR="006251CE">
        <w:rPr>
          <w:rFonts w:ascii="Arial" w:hAnsi="Arial" w:cs="Arial"/>
        </w:rPr>
        <w:t xml:space="preserve">en el año 2014, encontramos un nuevo </w:t>
      </w:r>
      <w:proofErr w:type="spellStart"/>
      <w:r w:rsidR="006251CE">
        <w:rPr>
          <w:rFonts w:ascii="Arial" w:hAnsi="Arial" w:cs="Arial"/>
        </w:rPr>
        <w:t>articulo</w:t>
      </w:r>
      <w:proofErr w:type="spellEnd"/>
      <w:r w:rsidR="006251CE">
        <w:rPr>
          <w:rFonts w:ascii="Arial" w:hAnsi="Arial" w:cs="Arial"/>
        </w:rPr>
        <w:t xml:space="preserve"> basado en las acciones BEPS </w:t>
      </w:r>
      <w:r w:rsidR="0061306A">
        <w:rPr>
          <w:rFonts w:ascii="Arial" w:hAnsi="Arial" w:cs="Arial"/>
        </w:rPr>
        <w:t>(</w:t>
      </w:r>
      <w:r w:rsidR="006251CE" w:rsidRPr="0061306A">
        <w:rPr>
          <w:rFonts w:ascii="Arial" w:hAnsi="Arial" w:cs="Arial"/>
          <w:b/>
          <w:bCs/>
          <w:color w:val="222222"/>
          <w:shd w:val="clear" w:color="auto" w:fill="FFFFFF"/>
        </w:rPr>
        <w:t xml:space="preserve">Base </w:t>
      </w:r>
      <w:proofErr w:type="spellStart"/>
      <w:r w:rsidR="006251CE" w:rsidRPr="0061306A">
        <w:rPr>
          <w:rFonts w:ascii="Arial" w:hAnsi="Arial" w:cs="Arial"/>
          <w:b/>
          <w:bCs/>
          <w:color w:val="222222"/>
          <w:shd w:val="clear" w:color="auto" w:fill="FFFFFF"/>
        </w:rPr>
        <w:t>Erosion</w:t>
      </w:r>
      <w:proofErr w:type="spellEnd"/>
      <w:r w:rsidR="006251CE" w:rsidRPr="0061306A">
        <w:rPr>
          <w:rFonts w:ascii="Arial" w:hAnsi="Arial" w:cs="Arial"/>
          <w:b/>
          <w:bCs/>
          <w:color w:val="222222"/>
          <w:shd w:val="clear" w:color="auto" w:fill="FFFFFF"/>
        </w:rPr>
        <w:t xml:space="preserve"> and </w:t>
      </w:r>
      <w:proofErr w:type="spellStart"/>
      <w:r w:rsidR="006251CE" w:rsidRPr="0061306A">
        <w:rPr>
          <w:rFonts w:ascii="Arial" w:hAnsi="Arial" w:cs="Arial"/>
          <w:b/>
          <w:bCs/>
          <w:color w:val="222222"/>
          <w:shd w:val="clear" w:color="auto" w:fill="FFFFFF"/>
        </w:rPr>
        <w:t>Profit</w:t>
      </w:r>
      <w:proofErr w:type="spellEnd"/>
      <w:r w:rsidR="006251CE" w:rsidRPr="0061306A">
        <w:rPr>
          <w:rFonts w:ascii="Arial" w:hAnsi="Arial" w:cs="Arial"/>
          <w:b/>
          <w:bCs/>
          <w:color w:val="222222"/>
          <w:shd w:val="clear" w:color="auto" w:fill="FFFFFF"/>
        </w:rPr>
        <w:t xml:space="preserve"> </w:t>
      </w:r>
      <w:proofErr w:type="spellStart"/>
      <w:r w:rsidR="006251CE" w:rsidRPr="0061306A">
        <w:rPr>
          <w:rFonts w:ascii="Arial" w:hAnsi="Arial" w:cs="Arial"/>
          <w:b/>
          <w:bCs/>
          <w:color w:val="222222"/>
          <w:shd w:val="clear" w:color="auto" w:fill="FFFFFF"/>
        </w:rPr>
        <w:t>Shifting</w:t>
      </w:r>
      <w:proofErr w:type="spellEnd"/>
      <w:r w:rsidR="0061306A">
        <w:rPr>
          <w:rFonts w:ascii="Arial" w:hAnsi="Arial" w:cs="Arial"/>
          <w:color w:val="222222"/>
          <w:shd w:val="clear" w:color="auto" w:fill="FFFFFF"/>
        </w:rPr>
        <w:t>)</w:t>
      </w:r>
      <w:r w:rsidR="006251CE" w:rsidRPr="0061306A">
        <w:rPr>
          <w:rFonts w:ascii="Arial" w:hAnsi="Arial" w:cs="Arial"/>
          <w:color w:val="222222"/>
          <w:shd w:val="clear" w:color="auto" w:fill="FFFFFF"/>
        </w:rPr>
        <w:t xml:space="preserve">, en español </w:t>
      </w:r>
      <w:r w:rsidR="0061306A">
        <w:rPr>
          <w:rFonts w:ascii="Arial" w:hAnsi="Arial" w:cs="Arial"/>
          <w:color w:val="222222"/>
          <w:shd w:val="clear" w:color="auto" w:fill="FFFFFF"/>
        </w:rPr>
        <w:t>(</w:t>
      </w:r>
      <w:r w:rsidR="006251CE" w:rsidRPr="0061306A">
        <w:rPr>
          <w:rFonts w:ascii="Arial" w:hAnsi="Arial" w:cs="Arial"/>
          <w:b/>
          <w:bCs/>
          <w:color w:val="222222"/>
          <w:shd w:val="clear" w:color="auto" w:fill="FFFFFF"/>
        </w:rPr>
        <w:t>Erosión de la base imponible y traslado de beneficios</w:t>
      </w:r>
      <w:r w:rsidR="006251CE" w:rsidRPr="0061306A">
        <w:rPr>
          <w:rFonts w:ascii="Arial" w:hAnsi="Arial" w:cs="Arial"/>
          <w:color w:val="222222"/>
          <w:shd w:val="clear" w:color="auto" w:fill="FFFFFF"/>
        </w:rPr>
        <w:t>)</w:t>
      </w:r>
      <w:r w:rsidR="006251CE">
        <w:rPr>
          <w:rFonts w:ascii="Arial" w:hAnsi="Arial" w:cs="Arial"/>
          <w:color w:val="222222"/>
          <w:sz w:val="21"/>
          <w:szCs w:val="21"/>
          <w:shd w:val="clear" w:color="auto" w:fill="FFFFFF"/>
        </w:rPr>
        <w:t> </w:t>
      </w:r>
      <w:r w:rsidR="0061306A">
        <w:rPr>
          <w:rFonts w:ascii="Arial" w:hAnsi="Arial" w:cs="Arial"/>
          <w:color w:val="222222"/>
          <w:sz w:val="21"/>
          <w:szCs w:val="21"/>
          <w:shd w:val="clear" w:color="auto" w:fill="FFFFFF"/>
        </w:rPr>
        <w:t xml:space="preserve">; </w:t>
      </w:r>
      <w:r w:rsidR="006251CE" w:rsidRPr="00D66AE7">
        <w:rPr>
          <w:rFonts w:ascii="Arial" w:hAnsi="Arial" w:cs="Arial"/>
          <w:color w:val="000000" w:themeColor="text1"/>
        </w:rPr>
        <w:t>El</w:t>
      </w:r>
      <w:r w:rsidR="006251CE" w:rsidRPr="00D66AE7">
        <w:rPr>
          <w:rStyle w:val="apple-converted-space"/>
          <w:rFonts w:ascii="Arial" w:hAnsi="Arial" w:cs="Arial"/>
          <w:color w:val="000000" w:themeColor="text1"/>
        </w:rPr>
        <w:t> </w:t>
      </w:r>
      <w:r w:rsidR="006251CE" w:rsidRPr="00D66AE7">
        <w:rPr>
          <w:rFonts w:ascii="Arial" w:hAnsi="Arial" w:cs="Arial"/>
          <w:color w:val="000000" w:themeColor="text1"/>
        </w:rPr>
        <w:t>artículo 69-B</w:t>
      </w:r>
      <w:r w:rsidR="006251CE" w:rsidRPr="00D66AE7">
        <w:rPr>
          <w:rStyle w:val="apple-converted-space"/>
          <w:rFonts w:ascii="Arial" w:hAnsi="Arial" w:cs="Arial"/>
          <w:color w:val="000000" w:themeColor="text1"/>
          <w:shd w:val="clear" w:color="auto" w:fill="FFFFFF"/>
        </w:rPr>
        <w:t> </w:t>
      </w:r>
      <w:r w:rsidR="006251CE" w:rsidRPr="00D66AE7">
        <w:rPr>
          <w:rFonts w:ascii="Arial" w:hAnsi="Arial" w:cs="Arial"/>
          <w:color w:val="000000" w:themeColor="text1"/>
          <w:shd w:val="clear" w:color="auto" w:fill="FFFFFF"/>
        </w:rPr>
        <w:t>del (</w:t>
      </w:r>
      <w:proofErr w:type="spellStart"/>
      <w:r w:rsidR="006251CE" w:rsidRPr="00D66AE7">
        <w:rPr>
          <w:rFonts w:ascii="Arial" w:hAnsi="Arial" w:cs="Arial"/>
          <w:color w:val="000000" w:themeColor="text1"/>
          <w:shd w:val="clear" w:color="auto" w:fill="FFFFFF"/>
        </w:rPr>
        <w:t>CFF</w:t>
      </w:r>
      <w:proofErr w:type="spellEnd"/>
      <w:r w:rsidR="006251CE" w:rsidRPr="00D66AE7">
        <w:rPr>
          <w:rFonts w:ascii="Arial" w:hAnsi="Arial" w:cs="Arial"/>
          <w:color w:val="000000" w:themeColor="text1"/>
          <w:shd w:val="clear" w:color="auto" w:fill="FFFFFF"/>
        </w:rPr>
        <w:t>), prevé un procedimiento para que las autoridades presuman la inexistencia de las operaciones de los contribuyentes que hayan emitido comprobantes fiscales sin contar con activos, personal, infraestructura o capacidad material, directa o indirectamente, para prestar los servicios</w:t>
      </w:r>
      <w:r w:rsidR="006251CE">
        <w:rPr>
          <w:rFonts w:ascii="Arial" w:hAnsi="Arial" w:cs="Arial"/>
          <w:color w:val="000000" w:themeColor="text1"/>
          <w:shd w:val="clear" w:color="auto" w:fill="FFFFFF"/>
        </w:rPr>
        <w:t>,</w:t>
      </w:r>
      <w:r w:rsidR="006251CE" w:rsidRPr="00D66AE7">
        <w:rPr>
          <w:rFonts w:ascii="Arial" w:hAnsi="Arial" w:cs="Arial"/>
          <w:color w:val="000000" w:themeColor="text1"/>
          <w:shd w:val="clear" w:color="auto" w:fill="FFFFFF"/>
        </w:rPr>
        <w:t xml:space="preserve"> producir, comercializar</w:t>
      </w:r>
      <w:r w:rsidR="006251CE">
        <w:rPr>
          <w:rFonts w:ascii="Arial" w:hAnsi="Arial" w:cs="Arial"/>
          <w:color w:val="000000" w:themeColor="text1"/>
          <w:shd w:val="clear" w:color="auto" w:fill="FFFFFF"/>
        </w:rPr>
        <w:t>,</w:t>
      </w:r>
      <w:r w:rsidR="006251CE" w:rsidRPr="00D66AE7">
        <w:rPr>
          <w:rFonts w:ascii="Arial" w:hAnsi="Arial" w:cs="Arial"/>
          <w:color w:val="000000" w:themeColor="text1"/>
          <w:shd w:val="clear" w:color="auto" w:fill="FFFFFF"/>
        </w:rPr>
        <w:t xml:space="preserve"> entregar los bienes que amparan dichos comprobantes o cuando no se localice al contribuyente.</w:t>
      </w:r>
      <w:r w:rsidR="006251CE">
        <w:rPr>
          <w:rFonts w:ascii="Arial" w:hAnsi="Arial" w:cs="Arial"/>
          <w:color w:val="000000" w:themeColor="text1"/>
          <w:shd w:val="clear" w:color="auto" w:fill="FFFFFF"/>
        </w:rPr>
        <w:t xml:space="preserve"> </w:t>
      </w:r>
      <w:r w:rsidR="006251CE" w:rsidRPr="00690572">
        <w:rPr>
          <w:rFonts w:ascii="Arial" w:hAnsi="Arial" w:cs="Arial"/>
          <w:color w:val="000000" w:themeColor="text1"/>
          <w:shd w:val="clear" w:color="auto" w:fill="FFFFFF"/>
        </w:rPr>
        <w:t xml:space="preserve">De esa manera, se establece un </w:t>
      </w:r>
      <w:r w:rsidR="002C4F63">
        <w:rPr>
          <w:rFonts w:ascii="Arial" w:hAnsi="Arial" w:cs="Arial"/>
          <w:color w:val="000000" w:themeColor="text1"/>
          <w:shd w:val="clear" w:color="auto" w:fill="FFFFFF"/>
        </w:rPr>
        <w:t>procedimiento</w:t>
      </w:r>
      <w:r w:rsidR="006251CE" w:rsidRPr="00690572">
        <w:rPr>
          <w:rFonts w:ascii="Arial" w:hAnsi="Arial" w:cs="Arial"/>
          <w:color w:val="000000" w:themeColor="text1"/>
          <w:shd w:val="clear" w:color="auto" w:fill="FFFFFF"/>
        </w:rPr>
        <w:t xml:space="preserve"> para que</w:t>
      </w:r>
      <w:r w:rsidR="002C4F63">
        <w:rPr>
          <w:rFonts w:ascii="Arial" w:hAnsi="Arial" w:cs="Arial"/>
          <w:color w:val="000000" w:themeColor="text1"/>
          <w:shd w:val="clear" w:color="auto" w:fill="FFFFFF"/>
        </w:rPr>
        <w:t>,</w:t>
      </w:r>
      <w:r w:rsidR="006251CE" w:rsidRPr="00690572">
        <w:rPr>
          <w:rFonts w:ascii="Arial" w:hAnsi="Arial" w:cs="Arial"/>
          <w:color w:val="000000" w:themeColor="text1"/>
          <w:shd w:val="clear" w:color="auto" w:fill="FFFFFF"/>
        </w:rPr>
        <w:t xml:space="preserve"> los terceros que haya</w:t>
      </w:r>
      <w:r w:rsidR="006251CE">
        <w:rPr>
          <w:rFonts w:ascii="Arial" w:hAnsi="Arial" w:cs="Arial"/>
          <w:color w:val="000000" w:themeColor="text1"/>
          <w:shd w:val="clear" w:color="auto" w:fill="FFFFFF"/>
        </w:rPr>
        <w:t xml:space="preserve">n utilizado esos documentos </w:t>
      </w:r>
      <w:r w:rsidR="00FE4209">
        <w:rPr>
          <w:rFonts w:ascii="Arial" w:hAnsi="Arial" w:cs="Arial"/>
          <w:color w:val="000000" w:themeColor="text1"/>
          <w:shd w:val="clear" w:color="auto" w:fill="FFFFFF"/>
        </w:rPr>
        <w:t xml:space="preserve">puedan </w:t>
      </w:r>
      <w:r w:rsidR="00FE4209" w:rsidRPr="00690572">
        <w:rPr>
          <w:rFonts w:ascii="Arial" w:hAnsi="Arial" w:cs="Arial"/>
          <w:color w:val="000000" w:themeColor="text1"/>
          <w:shd w:val="clear" w:color="auto" w:fill="FFFFFF"/>
        </w:rPr>
        <w:t>soportar</w:t>
      </w:r>
      <w:r w:rsidR="006251CE" w:rsidRPr="00690572">
        <w:rPr>
          <w:rFonts w:ascii="Arial" w:hAnsi="Arial" w:cs="Arial"/>
          <w:color w:val="000000" w:themeColor="text1"/>
          <w:shd w:val="clear" w:color="auto" w:fill="FFFFFF"/>
        </w:rPr>
        <w:t xml:space="preserve"> una deducción o un acreditamiento</w:t>
      </w:r>
      <w:r w:rsidR="006251CE">
        <w:rPr>
          <w:rFonts w:ascii="Arial" w:hAnsi="Arial" w:cs="Arial"/>
          <w:color w:val="000000" w:themeColor="text1"/>
          <w:shd w:val="clear" w:color="auto" w:fill="FFFFFF"/>
        </w:rPr>
        <w:t>.</w:t>
      </w:r>
    </w:p>
    <w:p w14:paraId="4881FC5A" w14:textId="465B3FA0" w:rsidR="0061306A" w:rsidRDefault="0061306A" w:rsidP="00AF22B9">
      <w:pPr>
        <w:spacing w:line="360" w:lineRule="auto"/>
        <w:jc w:val="both"/>
        <w:rPr>
          <w:rFonts w:ascii="Arial" w:hAnsi="Arial" w:cs="Arial"/>
        </w:rPr>
      </w:pPr>
    </w:p>
    <w:p w14:paraId="50DE639A" w14:textId="77777777" w:rsidR="00753AC3" w:rsidRDefault="002C4F63" w:rsidP="00AF22B9">
      <w:pPr>
        <w:spacing w:line="360" w:lineRule="auto"/>
        <w:jc w:val="both"/>
        <w:rPr>
          <w:rFonts w:ascii="Arial" w:hAnsi="Arial" w:cs="Arial"/>
        </w:rPr>
      </w:pPr>
      <w:r>
        <w:rPr>
          <w:rFonts w:ascii="Arial" w:hAnsi="Arial" w:cs="Arial"/>
        </w:rPr>
        <w:t>En las operaciones entre partes relacionadas, existen los preci</w:t>
      </w:r>
      <w:r w:rsidR="00FE4209">
        <w:rPr>
          <w:rFonts w:ascii="Arial" w:hAnsi="Arial" w:cs="Arial"/>
        </w:rPr>
        <w:t>os</w:t>
      </w:r>
      <w:r>
        <w:rPr>
          <w:rFonts w:ascii="Arial" w:hAnsi="Arial" w:cs="Arial"/>
        </w:rPr>
        <w:t xml:space="preserve"> de </w:t>
      </w:r>
      <w:r w:rsidR="00FE4209">
        <w:rPr>
          <w:rFonts w:ascii="Arial" w:hAnsi="Arial" w:cs="Arial"/>
        </w:rPr>
        <w:t>trasferencia</w:t>
      </w:r>
      <w:r>
        <w:rPr>
          <w:rFonts w:ascii="Arial" w:hAnsi="Arial" w:cs="Arial"/>
        </w:rPr>
        <w:t xml:space="preserve"> que son los montos o precios a los cuales se </w:t>
      </w:r>
      <w:r w:rsidR="00FE4209">
        <w:rPr>
          <w:rFonts w:ascii="Arial" w:hAnsi="Arial" w:cs="Arial"/>
        </w:rPr>
        <w:t>establecen</w:t>
      </w:r>
      <w:r>
        <w:rPr>
          <w:rFonts w:ascii="Arial" w:hAnsi="Arial" w:cs="Arial"/>
        </w:rPr>
        <w:t xml:space="preserve"> las prestaciones y </w:t>
      </w:r>
      <w:r w:rsidR="00FE4209">
        <w:rPr>
          <w:rFonts w:ascii="Arial" w:hAnsi="Arial" w:cs="Arial"/>
        </w:rPr>
        <w:t>contraprestaciones</w:t>
      </w:r>
      <w:r>
        <w:rPr>
          <w:rFonts w:ascii="Arial" w:hAnsi="Arial" w:cs="Arial"/>
        </w:rPr>
        <w:t xml:space="preserve"> que realizan las partes relacionadas, no hay que dejar de ver que siempre </w:t>
      </w:r>
      <w:r w:rsidR="00753AC3">
        <w:rPr>
          <w:rFonts w:ascii="Arial" w:hAnsi="Arial" w:cs="Arial"/>
        </w:rPr>
        <w:t xml:space="preserve">en una operación entre partes relacionadas se tendrá </w:t>
      </w:r>
      <w:r>
        <w:rPr>
          <w:rFonts w:ascii="Arial" w:hAnsi="Arial" w:cs="Arial"/>
        </w:rPr>
        <w:t xml:space="preserve">una </w:t>
      </w:r>
      <w:r w:rsidR="00FE4209">
        <w:rPr>
          <w:rFonts w:ascii="Arial" w:hAnsi="Arial" w:cs="Arial"/>
        </w:rPr>
        <w:t>deducción</w:t>
      </w:r>
      <w:r>
        <w:rPr>
          <w:rFonts w:ascii="Arial" w:hAnsi="Arial" w:cs="Arial"/>
        </w:rPr>
        <w:t xml:space="preserve"> o una acumulación</w:t>
      </w:r>
      <w:r w:rsidR="00753AC3">
        <w:rPr>
          <w:rFonts w:ascii="Arial" w:hAnsi="Arial" w:cs="Arial"/>
        </w:rPr>
        <w:t xml:space="preserve"> para efectos del impuesto sobre la renta, atreves de un comprobante fiscal por internet, CFDI.</w:t>
      </w:r>
    </w:p>
    <w:p w14:paraId="46817334" w14:textId="77777777" w:rsidR="00753AC3" w:rsidRDefault="00753AC3" w:rsidP="00AF22B9">
      <w:pPr>
        <w:spacing w:line="360" w:lineRule="auto"/>
        <w:jc w:val="both"/>
        <w:rPr>
          <w:rFonts w:ascii="Arial" w:hAnsi="Arial" w:cs="Arial"/>
        </w:rPr>
      </w:pPr>
    </w:p>
    <w:p w14:paraId="35A4AE6C" w14:textId="1CBE3E9C" w:rsidR="002C4F63" w:rsidRDefault="00753AC3" w:rsidP="00AF22B9">
      <w:pPr>
        <w:spacing w:line="360" w:lineRule="auto"/>
        <w:jc w:val="both"/>
        <w:rPr>
          <w:rFonts w:ascii="Arial" w:hAnsi="Arial" w:cs="Arial"/>
        </w:rPr>
      </w:pPr>
      <w:r>
        <w:rPr>
          <w:rFonts w:ascii="Arial" w:hAnsi="Arial" w:cs="Arial"/>
        </w:rPr>
        <w:t xml:space="preserve">Es por esto que se puede presumir que entre partes relacionadas solamente al emitir la factura o el puro comprobante sin que el servicio se hubiera prestado situándonos en el supuesto del 69-b del </w:t>
      </w:r>
      <w:proofErr w:type="spellStart"/>
      <w:r>
        <w:rPr>
          <w:rFonts w:ascii="Arial" w:hAnsi="Arial" w:cs="Arial"/>
        </w:rPr>
        <w:t>CFF</w:t>
      </w:r>
      <w:proofErr w:type="spellEnd"/>
      <w:r>
        <w:rPr>
          <w:rFonts w:ascii="Arial" w:hAnsi="Arial" w:cs="Arial"/>
        </w:rPr>
        <w:t>, una operación simulada, según la autoridad fiscal, esta línea es muy delgada entre los precios de</w:t>
      </w:r>
      <w:r w:rsidR="00675589">
        <w:rPr>
          <w:rFonts w:ascii="Arial" w:hAnsi="Arial" w:cs="Arial"/>
        </w:rPr>
        <w:t xml:space="preserve"> transferencia</w:t>
      </w:r>
      <w:r>
        <w:rPr>
          <w:rFonts w:ascii="Arial" w:hAnsi="Arial" w:cs="Arial"/>
        </w:rPr>
        <w:t xml:space="preserve"> y la simulación de operaciones, donde la autoridad pudiera manifestar que esa operación no es real, sin importar que se tenga el comprobante, que se tenga la transferencia electrónica de fondos,  se tenga registrado en contabilidad de acuerdo a </w:t>
      </w:r>
      <w:proofErr w:type="spellStart"/>
      <w:r>
        <w:rPr>
          <w:rFonts w:ascii="Arial" w:hAnsi="Arial" w:cs="Arial"/>
        </w:rPr>
        <w:t>NIF’S</w:t>
      </w:r>
      <w:proofErr w:type="spellEnd"/>
      <w:r>
        <w:rPr>
          <w:rFonts w:ascii="Arial" w:hAnsi="Arial" w:cs="Arial"/>
        </w:rPr>
        <w:t>.</w:t>
      </w:r>
    </w:p>
    <w:p w14:paraId="5692DFF6" w14:textId="73D059AD" w:rsidR="00753AC3" w:rsidRDefault="00753AC3" w:rsidP="00AF22B9">
      <w:pPr>
        <w:spacing w:line="360" w:lineRule="auto"/>
        <w:jc w:val="both"/>
        <w:rPr>
          <w:rFonts w:ascii="Arial" w:hAnsi="Arial" w:cs="Arial"/>
        </w:rPr>
      </w:pPr>
    </w:p>
    <w:p w14:paraId="5978F3DE" w14:textId="5A55B225" w:rsidR="002C4F63" w:rsidRDefault="004920C4" w:rsidP="00AF22B9">
      <w:pPr>
        <w:spacing w:line="360" w:lineRule="auto"/>
        <w:jc w:val="both"/>
        <w:rPr>
          <w:rFonts w:ascii="Arial" w:hAnsi="Arial" w:cs="Arial"/>
        </w:rPr>
      </w:pPr>
      <w:r>
        <w:rPr>
          <w:rFonts w:ascii="Arial" w:hAnsi="Arial" w:cs="Arial"/>
        </w:rPr>
        <w:t>P</w:t>
      </w:r>
      <w:r w:rsidR="00753AC3">
        <w:rPr>
          <w:rFonts w:ascii="Arial" w:hAnsi="Arial" w:cs="Arial"/>
        </w:rPr>
        <w:t xml:space="preserve">or lo anterior, el tema de precios de transferencia toma más importancia, ya que a través de estos procedimientos podemos comprobar que las operaciones </w:t>
      </w:r>
      <w:r w:rsidR="002031D5">
        <w:rPr>
          <w:rFonts w:ascii="Arial" w:hAnsi="Arial" w:cs="Arial"/>
        </w:rPr>
        <w:t>reales</w:t>
      </w:r>
      <w:r w:rsidR="00753AC3">
        <w:rPr>
          <w:rFonts w:ascii="Arial" w:hAnsi="Arial" w:cs="Arial"/>
        </w:rPr>
        <w:t xml:space="preserve">, a través del estudio de precios de transferencia elaborado por un profesional en la materia, en donde derivado de este estudio queda evidencia del análisis funcional de las partes que intervinieron en esa operación revelando cuales fueron sus funciones, riesgos, aportaciones ya sea de capital , tecnología, </w:t>
      </w:r>
      <w:r w:rsidR="0008551F">
        <w:rPr>
          <w:rFonts w:ascii="Arial" w:hAnsi="Arial" w:cs="Arial"/>
        </w:rPr>
        <w:t>intangibles, quien le da mantenimiento al intangible, si alguna parte le otorga valor en el tiempo al intangible.</w:t>
      </w:r>
    </w:p>
    <w:p w14:paraId="0733894C" w14:textId="6BAFD0E8" w:rsidR="0008551F" w:rsidRDefault="0008551F" w:rsidP="00AF22B9">
      <w:pPr>
        <w:spacing w:line="360" w:lineRule="auto"/>
        <w:jc w:val="both"/>
        <w:rPr>
          <w:rFonts w:ascii="Arial" w:hAnsi="Arial" w:cs="Arial"/>
        </w:rPr>
      </w:pPr>
    </w:p>
    <w:p w14:paraId="52EE41AD" w14:textId="3E72AF2E" w:rsidR="0008551F" w:rsidRDefault="0008551F" w:rsidP="00AF22B9">
      <w:pPr>
        <w:spacing w:line="360" w:lineRule="auto"/>
        <w:jc w:val="both"/>
        <w:rPr>
          <w:rFonts w:ascii="Arial" w:hAnsi="Arial" w:cs="Arial"/>
        </w:rPr>
      </w:pPr>
      <w:r>
        <w:rPr>
          <w:rFonts w:ascii="Arial" w:hAnsi="Arial" w:cs="Arial"/>
        </w:rPr>
        <w:t xml:space="preserve">Con esto, se puede observar que el valor de la operación o el precio al cual se ha pactado es razonable </w:t>
      </w:r>
      <w:r w:rsidR="00125E01">
        <w:rPr>
          <w:rFonts w:ascii="Arial" w:hAnsi="Arial" w:cs="Arial"/>
        </w:rPr>
        <w:t xml:space="preserve">dando certeza de que la operación </w:t>
      </w:r>
      <w:r w:rsidR="00675589">
        <w:rPr>
          <w:rFonts w:ascii="Arial" w:hAnsi="Arial" w:cs="Arial"/>
        </w:rPr>
        <w:t>no se pude presumir como simulada ya que se tienen elementos que puedan probar que se trata de un precio de trasferencia con su análisis funcional.</w:t>
      </w:r>
    </w:p>
    <w:p w14:paraId="38272AD9" w14:textId="1D318C62" w:rsidR="00675589" w:rsidRDefault="00675589" w:rsidP="00AF22B9">
      <w:pPr>
        <w:spacing w:line="360" w:lineRule="auto"/>
        <w:jc w:val="both"/>
        <w:rPr>
          <w:rFonts w:ascii="Arial" w:hAnsi="Arial" w:cs="Arial"/>
          <w:highlight w:val="yellow"/>
        </w:rPr>
      </w:pPr>
    </w:p>
    <w:p w14:paraId="3DF57304" w14:textId="6CC4BA88" w:rsidR="00675589" w:rsidRPr="00675589" w:rsidRDefault="00675589" w:rsidP="00675589">
      <w:pPr>
        <w:shd w:val="clear" w:color="auto" w:fill="FFFFFF"/>
        <w:spacing w:after="450" w:line="360" w:lineRule="auto"/>
        <w:jc w:val="both"/>
        <w:rPr>
          <w:rFonts w:ascii="Arial" w:eastAsia="Times New Roman" w:hAnsi="Arial" w:cs="Arial"/>
          <w:color w:val="021521"/>
          <w:lang w:eastAsia="es-MX"/>
        </w:rPr>
      </w:pPr>
      <w:r w:rsidRPr="00675589">
        <w:rPr>
          <w:rFonts w:ascii="Arial" w:eastAsia="Times New Roman" w:hAnsi="Arial" w:cs="Arial"/>
          <w:color w:val="021521"/>
          <w:lang w:eastAsia="es-MX"/>
        </w:rPr>
        <w:t>Un estudio de precios de transferencia se integra fundamentalmente por dos partes: </w:t>
      </w:r>
      <w:r w:rsidRPr="00675589">
        <w:rPr>
          <w:rFonts w:ascii="Arial" w:eastAsia="Times New Roman" w:hAnsi="Arial" w:cs="Arial"/>
          <w:iCs/>
          <w:lang w:eastAsia="es-MX"/>
        </w:rPr>
        <w:t>análisis funcional y análisis económico</w:t>
      </w:r>
      <w:r w:rsidRPr="00675589">
        <w:rPr>
          <w:rFonts w:ascii="Arial" w:eastAsia="Times New Roman" w:hAnsi="Arial" w:cs="Arial"/>
          <w:color w:val="021521"/>
          <w:lang w:eastAsia="es-MX"/>
        </w:rPr>
        <w:t xml:space="preserve">. Sin embargo, en la práctica se ha encontrado documentación que se enfoca únicamente en el análisis económico dejando de lado el análisis funcional. </w:t>
      </w:r>
    </w:p>
    <w:p w14:paraId="0C4A41F0" w14:textId="77777777" w:rsidR="00675589" w:rsidRPr="00675589" w:rsidRDefault="00675589" w:rsidP="00675589">
      <w:pPr>
        <w:shd w:val="clear" w:color="auto" w:fill="FFFFFF"/>
        <w:spacing w:after="450" w:line="360" w:lineRule="auto"/>
        <w:jc w:val="both"/>
        <w:rPr>
          <w:rFonts w:ascii="Arial" w:eastAsia="Times New Roman" w:hAnsi="Arial" w:cs="Arial"/>
          <w:color w:val="021521"/>
          <w:lang w:eastAsia="es-MX"/>
        </w:rPr>
      </w:pPr>
      <w:r w:rsidRPr="00675589">
        <w:rPr>
          <w:rFonts w:ascii="Arial" w:eastAsia="Times New Roman" w:hAnsi="Arial" w:cs="Arial"/>
          <w:color w:val="021521"/>
          <w:lang w:eastAsia="es-MX"/>
        </w:rPr>
        <w:lastRenderedPageBreak/>
        <w:t>El análisis funcional se fundamenta en el </w:t>
      </w:r>
      <w:r w:rsidRPr="00675589">
        <w:rPr>
          <w:rFonts w:ascii="Arial" w:eastAsia="Times New Roman" w:hAnsi="Arial" w:cs="Arial"/>
          <w:b/>
          <w:bCs/>
          <w:color w:val="021521"/>
          <w:lang w:eastAsia="es-MX"/>
        </w:rPr>
        <w:t>artículo 86 fracción XII</w:t>
      </w:r>
      <w:r w:rsidRPr="00675589">
        <w:rPr>
          <w:rFonts w:ascii="Arial" w:eastAsia="Times New Roman" w:hAnsi="Arial" w:cs="Arial"/>
          <w:color w:val="021521"/>
          <w:lang w:eastAsia="es-MX"/>
        </w:rPr>
        <w:t> de la Ley del Impuesto Sobre la Renta (LISR), el cual señala en el inciso b) que la documentación comprobatoria deberá contener la </w:t>
      </w:r>
      <w:r w:rsidRPr="00675589">
        <w:rPr>
          <w:rFonts w:ascii="Arial" w:eastAsia="Times New Roman" w:hAnsi="Arial" w:cs="Arial"/>
          <w:i/>
          <w:iCs/>
          <w:color w:val="021521"/>
          <w:lang w:eastAsia="es-MX"/>
        </w:rPr>
        <w:t>información relativa a las funciones o actividades, activos utilizados y riesgos asumidos por el contribuyente por cada tipo de operación</w:t>
      </w:r>
      <w:r w:rsidRPr="00675589">
        <w:rPr>
          <w:rFonts w:ascii="Arial" w:eastAsia="Times New Roman" w:hAnsi="Arial" w:cs="Arial"/>
          <w:color w:val="021521"/>
          <w:lang w:eastAsia="es-MX"/>
        </w:rPr>
        <w:t>.</w:t>
      </w:r>
    </w:p>
    <w:p w14:paraId="17D053BB" w14:textId="209DEECA" w:rsidR="00675589" w:rsidRPr="00675589" w:rsidRDefault="00675589" w:rsidP="00675589">
      <w:pPr>
        <w:shd w:val="clear" w:color="auto" w:fill="FFFFFF"/>
        <w:spacing w:after="450" w:line="360" w:lineRule="auto"/>
        <w:jc w:val="both"/>
        <w:rPr>
          <w:rFonts w:ascii="Arial" w:eastAsia="Times New Roman" w:hAnsi="Arial" w:cs="Arial"/>
          <w:color w:val="021521"/>
          <w:lang w:eastAsia="es-MX"/>
        </w:rPr>
      </w:pPr>
      <w:r>
        <w:rPr>
          <w:rFonts w:ascii="Arial" w:eastAsia="Times New Roman" w:hAnsi="Arial" w:cs="Arial"/>
          <w:color w:val="021521"/>
          <w:lang w:eastAsia="es-MX"/>
        </w:rPr>
        <w:t>En el mismo sentido</w:t>
      </w:r>
      <w:r w:rsidRPr="00675589">
        <w:rPr>
          <w:rFonts w:ascii="Arial" w:eastAsia="Times New Roman" w:hAnsi="Arial" w:cs="Arial"/>
          <w:color w:val="021521"/>
          <w:lang w:eastAsia="es-MX"/>
        </w:rPr>
        <w:t xml:space="preserve">, </w:t>
      </w:r>
      <w:r>
        <w:rPr>
          <w:rFonts w:ascii="Arial" w:eastAsia="Times New Roman" w:hAnsi="Arial" w:cs="Arial"/>
          <w:color w:val="021521"/>
          <w:lang w:eastAsia="es-MX"/>
        </w:rPr>
        <w:t>l</w:t>
      </w:r>
      <w:r w:rsidRPr="00675589">
        <w:rPr>
          <w:rFonts w:ascii="Arial" w:eastAsia="Times New Roman" w:hAnsi="Arial" w:cs="Arial"/>
          <w:color w:val="021521"/>
          <w:lang w:eastAsia="es-MX"/>
        </w:rPr>
        <w:t>a </w:t>
      </w:r>
      <w:r w:rsidRPr="00675589">
        <w:rPr>
          <w:rFonts w:ascii="Arial" w:eastAsia="Times New Roman" w:hAnsi="Arial" w:cs="Arial"/>
          <w:b/>
          <w:bCs/>
          <w:color w:val="021521"/>
          <w:lang w:eastAsia="es-MX"/>
        </w:rPr>
        <w:t>OCDE</w:t>
      </w:r>
      <w:r w:rsidRPr="00675589">
        <w:rPr>
          <w:rFonts w:ascii="Arial" w:eastAsia="Times New Roman" w:hAnsi="Arial" w:cs="Arial"/>
          <w:color w:val="021521"/>
          <w:lang w:eastAsia="es-MX"/>
        </w:rPr>
        <w:t xml:space="preserve"> en materia de precios de transferencia definen el análisis funcional como </w:t>
      </w:r>
      <w:r w:rsidRPr="00675589">
        <w:rPr>
          <w:rFonts w:ascii="Arial" w:eastAsia="Times New Roman" w:hAnsi="Arial" w:cs="Arial"/>
          <w:lang w:eastAsia="es-MX"/>
        </w:rPr>
        <w:t>el </w:t>
      </w:r>
      <w:r w:rsidRPr="00675589">
        <w:rPr>
          <w:rFonts w:ascii="Arial" w:eastAsia="Times New Roman" w:hAnsi="Arial" w:cs="Arial"/>
          <w:i/>
          <w:iCs/>
          <w:lang w:eastAsia="es-MX"/>
        </w:rPr>
        <w:t>análisis de las funciones realizadas</w:t>
      </w:r>
      <w:r w:rsidRPr="00675589">
        <w:rPr>
          <w:rFonts w:ascii="Arial" w:eastAsia="Times New Roman" w:hAnsi="Arial" w:cs="Arial"/>
          <w:lang w:eastAsia="es-MX"/>
        </w:rPr>
        <w:t> </w:t>
      </w:r>
      <w:r w:rsidRPr="00675589">
        <w:rPr>
          <w:rFonts w:ascii="Arial" w:eastAsia="Times New Roman" w:hAnsi="Arial" w:cs="Arial"/>
          <w:color w:val="021521"/>
          <w:lang w:eastAsia="es-MX"/>
        </w:rPr>
        <w:t>(tomando en consideración los activos utilizados y los riesgos asumidos) por las entidades relacionadas en las </w:t>
      </w:r>
      <w:r w:rsidRPr="00675589">
        <w:rPr>
          <w:rFonts w:ascii="Arial" w:eastAsia="Times New Roman" w:hAnsi="Arial" w:cs="Arial"/>
          <w:bCs/>
          <w:color w:val="021521"/>
          <w:lang w:eastAsia="es-MX"/>
        </w:rPr>
        <w:t>transacciones controladas</w:t>
      </w:r>
      <w:r w:rsidRPr="00675589">
        <w:rPr>
          <w:rFonts w:ascii="Arial" w:eastAsia="Times New Roman" w:hAnsi="Arial" w:cs="Arial"/>
          <w:color w:val="021521"/>
          <w:lang w:eastAsia="es-MX"/>
        </w:rPr>
        <w:t> y por las entidades independientes en </w:t>
      </w:r>
      <w:r w:rsidRPr="00675589">
        <w:rPr>
          <w:rFonts w:ascii="Arial" w:eastAsia="Times New Roman" w:hAnsi="Arial" w:cs="Arial"/>
          <w:bCs/>
          <w:color w:val="021521"/>
          <w:lang w:eastAsia="es-MX"/>
        </w:rPr>
        <w:t>transacciones comparables no controladas</w:t>
      </w:r>
      <w:r w:rsidRPr="00675589">
        <w:rPr>
          <w:rFonts w:ascii="Arial" w:eastAsia="Times New Roman" w:hAnsi="Arial" w:cs="Arial"/>
          <w:color w:val="021521"/>
          <w:lang w:eastAsia="es-MX"/>
        </w:rPr>
        <w:t>.</w:t>
      </w:r>
    </w:p>
    <w:p w14:paraId="2E28E19C" w14:textId="77777777" w:rsidR="00675589" w:rsidRPr="00675589" w:rsidRDefault="00675589" w:rsidP="00675589">
      <w:pPr>
        <w:shd w:val="clear" w:color="auto" w:fill="FFFFFF"/>
        <w:spacing w:after="450" w:line="360" w:lineRule="auto"/>
        <w:jc w:val="both"/>
        <w:rPr>
          <w:rFonts w:ascii="Arial" w:eastAsia="Times New Roman" w:hAnsi="Arial" w:cs="Arial"/>
          <w:color w:val="021521"/>
          <w:lang w:eastAsia="es-MX"/>
        </w:rPr>
      </w:pPr>
      <w:r w:rsidRPr="00675589">
        <w:rPr>
          <w:rFonts w:ascii="Arial" w:eastAsia="Times New Roman" w:hAnsi="Arial" w:cs="Arial"/>
          <w:color w:val="021521"/>
          <w:lang w:eastAsia="es-MX"/>
        </w:rPr>
        <w:t>En las transacciones realizadas entre entidades independientes, la contraprestación generalmente refleja las funciones que cada una de ellas desempeña; por lo tanto, para determinar si las transacciones controladas y no controladas son comparables, es necesario elaborar un análisis funcional. Mediante dicho análisis se busca </w:t>
      </w:r>
      <w:r w:rsidRPr="00675589">
        <w:rPr>
          <w:rFonts w:ascii="Arial" w:eastAsia="Times New Roman" w:hAnsi="Arial" w:cs="Arial"/>
          <w:iCs/>
          <w:color w:val="021521"/>
          <w:lang w:eastAsia="es-MX"/>
        </w:rPr>
        <w:t>identificar y comparar las actividades económicas, los activos utilizados y los riesgos asumidos por cada una de las partes que intervienen en la transacción</w:t>
      </w:r>
      <w:r w:rsidRPr="00675589">
        <w:rPr>
          <w:rFonts w:ascii="Arial" w:eastAsia="Times New Roman" w:hAnsi="Arial" w:cs="Arial"/>
          <w:color w:val="021521"/>
          <w:lang w:eastAsia="es-MX"/>
        </w:rPr>
        <w:t>.</w:t>
      </w:r>
    </w:p>
    <w:p w14:paraId="7163EBBF" w14:textId="77777777" w:rsidR="00675589" w:rsidRPr="00675589" w:rsidRDefault="00675589" w:rsidP="00675589">
      <w:pPr>
        <w:shd w:val="clear" w:color="auto" w:fill="FFFFFF"/>
        <w:spacing w:after="450" w:line="360" w:lineRule="auto"/>
        <w:jc w:val="both"/>
        <w:rPr>
          <w:rFonts w:ascii="Arial" w:eastAsia="Times New Roman" w:hAnsi="Arial" w:cs="Arial"/>
          <w:color w:val="021521"/>
          <w:lang w:eastAsia="es-MX"/>
        </w:rPr>
      </w:pPr>
      <w:r w:rsidRPr="00675589">
        <w:rPr>
          <w:rFonts w:ascii="Arial" w:eastAsia="Times New Roman" w:hAnsi="Arial" w:cs="Arial"/>
          <w:color w:val="021521"/>
          <w:lang w:eastAsia="es-MX"/>
        </w:rPr>
        <w:t>Los principales factores que deben ser considerados para realizar el análisis funcional se enlistan a continuación:</w:t>
      </w:r>
    </w:p>
    <w:p w14:paraId="2157E291"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lang w:eastAsia="es-MX"/>
        </w:rPr>
        <w:t>Entender la </w:t>
      </w:r>
      <w:r w:rsidRPr="002031D5">
        <w:rPr>
          <w:rFonts w:ascii="Arial" w:eastAsia="Times New Roman" w:hAnsi="Arial" w:cs="Arial"/>
          <w:bCs/>
          <w:lang w:eastAsia="es-MX"/>
        </w:rPr>
        <w:t>estructura y organización del grupo multinacional</w:t>
      </w:r>
      <w:r w:rsidRPr="002031D5">
        <w:rPr>
          <w:rFonts w:ascii="Arial" w:eastAsia="Times New Roman" w:hAnsi="Arial" w:cs="Arial"/>
          <w:lang w:eastAsia="es-MX"/>
        </w:rPr>
        <w:t>, así como su influencia en el contexto en el que opera el contribuyente.</w:t>
      </w:r>
    </w:p>
    <w:p w14:paraId="439BA8F8" w14:textId="705D0348"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lang w:eastAsia="es-MX"/>
        </w:rPr>
        <w:t>Determinar los </w:t>
      </w:r>
      <w:r w:rsidRPr="002031D5">
        <w:rPr>
          <w:rFonts w:ascii="Arial" w:eastAsia="Times New Roman" w:hAnsi="Arial" w:cs="Arial"/>
          <w:bCs/>
          <w:lang w:eastAsia="es-MX"/>
        </w:rPr>
        <w:t>derechos y obligaciones legales del contribuyente</w:t>
      </w:r>
      <w:r w:rsidRPr="002031D5">
        <w:rPr>
          <w:rFonts w:ascii="Arial" w:eastAsia="Times New Roman" w:hAnsi="Arial" w:cs="Arial"/>
          <w:lang w:eastAsia="es-MX"/>
        </w:rPr>
        <w:t xml:space="preserve"> al desempeñar sus funciones. </w:t>
      </w:r>
    </w:p>
    <w:p w14:paraId="45AE1932"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bCs/>
          <w:lang w:eastAsia="es-MX"/>
        </w:rPr>
        <w:t>Identificar las funciones llevadas a cabo por el contribuyente</w:t>
      </w:r>
      <w:r w:rsidRPr="002031D5">
        <w:rPr>
          <w:rFonts w:ascii="Arial" w:eastAsia="Times New Roman" w:hAnsi="Arial" w:cs="Arial"/>
          <w:lang w:eastAsia="es-MX"/>
        </w:rPr>
        <w:t xml:space="preserve"> (por ejemplo: diseño de productos, manufactura, ensamble, investigación y desarrollo, </w:t>
      </w:r>
      <w:r w:rsidRPr="002031D5">
        <w:rPr>
          <w:rFonts w:ascii="Arial" w:eastAsia="Times New Roman" w:hAnsi="Arial" w:cs="Arial"/>
          <w:lang w:eastAsia="es-MX"/>
        </w:rPr>
        <w:lastRenderedPageBreak/>
        <w:t>servicios, compras, distribución, mercadotecnia, publicidad, logística, financiamiento y administración).</w:t>
      </w:r>
    </w:p>
    <w:p w14:paraId="43096A9B"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lang w:eastAsia="es-MX"/>
        </w:rPr>
        <w:t>Revisar las funciones desempeñadas por las partes relacionadas involucradas en la transacción.</w:t>
      </w:r>
    </w:p>
    <w:p w14:paraId="5B4B952C"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lang w:eastAsia="es-MX"/>
        </w:rPr>
        <w:t>Medir la intensidad de las funciones realizadas, en términos de su </w:t>
      </w:r>
      <w:r w:rsidRPr="002031D5">
        <w:rPr>
          <w:rFonts w:ascii="Arial" w:eastAsia="Times New Roman" w:hAnsi="Arial" w:cs="Arial"/>
          <w:bCs/>
          <w:lang w:eastAsia="es-MX"/>
        </w:rPr>
        <w:t>frecuencia, naturaleza y valor para las entidades involucradas en la transacción analizada</w:t>
      </w:r>
      <w:r w:rsidRPr="002031D5">
        <w:rPr>
          <w:rFonts w:ascii="Arial" w:eastAsia="Times New Roman" w:hAnsi="Arial" w:cs="Arial"/>
          <w:lang w:eastAsia="es-MX"/>
        </w:rPr>
        <w:t>. Si se encuentran diferencias materiales, esto podría indicar la necesidad de realizar ajustes a las compañías comparables cuando se realice el análisis económico.</w:t>
      </w:r>
    </w:p>
    <w:p w14:paraId="7DA6A328"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bCs/>
          <w:lang w:eastAsia="es-MX"/>
        </w:rPr>
        <w:t>Considerar el tipo de activos</w:t>
      </w:r>
      <w:r w:rsidRPr="002031D5">
        <w:rPr>
          <w:rFonts w:ascii="Arial" w:eastAsia="Times New Roman" w:hAnsi="Arial" w:cs="Arial"/>
          <w:lang w:eastAsia="es-MX"/>
        </w:rPr>
        <w:t> utilizados por el contribuyente, tales como planta y equipo, el uso de intangibles valiosos, activos financieros, etc.</w:t>
      </w:r>
    </w:p>
    <w:p w14:paraId="7CCE1E21" w14:textId="77777777"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lang w:eastAsia="es-MX"/>
        </w:rPr>
        <w:t>Identificar la naturaleza de los activos utilizados, como la edad de los activos, valor de mercado, ubicación, etc.</w:t>
      </w:r>
    </w:p>
    <w:p w14:paraId="0A66C7B6" w14:textId="47784D3E"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bCs/>
          <w:lang w:eastAsia="es-MX"/>
        </w:rPr>
        <w:t>Evaluar los riesgos asumidos por cada una de las entidades involucradas en la transacción</w:t>
      </w:r>
      <w:r w:rsidRPr="002031D5">
        <w:rPr>
          <w:rFonts w:ascii="Arial" w:eastAsia="Times New Roman" w:hAnsi="Arial" w:cs="Arial"/>
          <w:lang w:eastAsia="es-MX"/>
        </w:rPr>
        <w:t xml:space="preserve">, ya que la distribución de dichos riesgos impacta significativamente en el rendimiento esperado </w:t>
      </w:r>
      <w:r w:rsidR="00D312F0" w:rsidRPr="002031D5">
        <w:rPr>
          <w:rFonts w:ascii="Arial" w:eastAsia="Times New Roman" w:hAnsi="Arial" w:cs="Arial"/>
          <w:lang w:eastAsia="es-MX"/>
        </w:rPr>
        <w:t>y,</w:t>
      </w:r>
      <w:r w:rsidRPr="002031D5">
        <w:rPr>
          <w:rFonts w:ascii="Arial" w:eastAsia="Times New Roman" w:hAnsi="Arial" w:cs="Arial"/>
          <w:lang w:eastAsia="es-MX"/>
        </w:rPr>
        <w:t xml:space="preserve"> por tanto, en la contraprestación pactada.</w:t>
      </w:r>
    </w:p>
    <w:p w14:paraId="24083E00" w14:textId="15A640FC" w:rsidR="00675589" w:rsidRPr="002031D5" w:rsidRDefault="00675589" w:rsidP="00675589">
      <w:pPr>
        <w:numPr>
          <w:ilvl w:val="0"/>
          <w:numId w:val="2"/>
        </w:numPr>
        <w:shd w:val="clear" w:color="auto" w:fill="FFFFFF"/>
        <w:spacing w:before="100" w:beforeAutospacing="1" w:after="100" w:afterAutospacing="1" w:line="360" w:lineRule="auto"/>
        <w:ind w:left="600"/>
        <w:jc w:val="both"/>
        <w:rPr>
          <w:rFonts w:ascii="Arial" w:eastAsia="Times New Roman" w:hAnsi="Arial" w:cs="Arial"/>
          <w:lang w:eastAsia="es-MX"/>
        </w:rPr>
      </w:pPr>
      <w:r w:rsidRPr="002031D5">
        <w:rPr>
          <w:rFonts w:ascii="Arial" w:eastAsia="Times New Roman" w:hAnsi="Arial" w:cs="Arial"/>
          <w:bCs/>
          <w:lang w:eastAsia="es-MX"/>
        </w:rPr>
        <w:t>Categorizar los diferentes tipos de riesgo</w:t>
      </w:r>
      <w:r w:rsidRPr="002031D5">
        <w:rPr>
          <w:rFonts w:ascii="Arial" w:eastAsia="Times New Roman" w:hAnsi="Arial" w:cs="Arial"/>
          <w:lang w:eastAsia="es-MX"/>
        </w:rPr>
        <w:t>, entre los que se encuentran: riesgo de mercado, riesgo por inversión en activos fijos, riesgos financieros (por variaciones en tipo de cambio y en tasas de interés)</w:t>
      </w:r>
      <w:r w:rsidR="00D312F0">
        <w:rPr>
          <w:rFonts w:ascii="Arial" w:eastAsia="Times New Roman" w:hAnsi="Arial" w:cs="Arial"/>
          <w:lang w:eastAsia="es-MX"/>
        </w:rPr>
        <w:t xml:space="preserve">, garantías otorgadas, avales </w:t>
      </w:r>
      <w:r w:rsidR="00D312F0" w:rsidRPr="002031D5">
        <w:rPr>
          <w:rFonts w:ascii="Arial" w:eastAsia="Times New Roman" w:hAnsi="Arial" w:cs="Arial"/>
          <w:lang w:eastAsia="es-MX"/>
        </w:rPr>
        <w:t>y</w:t>
      </w:r>
      <w:r w:rsidRPr="002031D5">
        <w:rPr>
          <w:rFonts w:ascii="Arial" w:eastAsia="Times New Roman" w:hAnsi="Arial" w:cs="Arial"/>
          <w:lang w:eastAsia="es-MX"/>
        </w:rPr>
        <w:t xml:space="preserve"> riesgo de crédito</w:t>
      </w:r>
    </w:p>
    <w:p w14:paraId="34E0748F" w14:textId="77777777" w:rsidR="00675589" w:rsidRDefault="00675589" w:rsidP="00AF22B9">
      <w:pPr>
        <w:spacing w:line="360" w:lineRule="auto"/>
        <w:jc w:val="both"/>
        <w:rPr>
          <w:rFonts w:ascii="Arial" w:hAnsi="Arial" w:cs="Arial"/>
          <w:highlight w:val="yellow"/>
        </w:rPr>
      </w:pPr>
    </w:p>
    <w:p w14:paraId="7C99C51A" w14:textId="2D74EEB1" w:rsidR="00302D99" w:rsidRPr="00302D99" w:rsidRDefault="00965E40" w:rsidP="00AF22B9">
      <w:pPr>
        <w:spacing w:line="360" w:lineRule="auto"/>
        <w:jc w:val="both"/>
        <w:rPr>
          <w:rFonts w:ascii="Arial" w:hAnsi="Arial" w:cs="Arial"/>
        </w:rPr>
      </w:pPr>
      <w:r w:rsidRPr="00302D99">
        <w:rPr>
          <w:rFonts w:ascii="Arial" w:hAnsi="Arial" w:cs="Arial"/>
        </w:rPr>
        <w:t xml:space="preserve">El estudio de precios de trasferencia es la documentación comprobatoria que le dará a la operación la materialidad, tomando en cuenta que la línea que divide a un precio de trasferencia y una operación simulada para efectos del </w:t>
      </w:r>
      <w:proofErr w:type="spellStart"/>
      <w:r w:rsidRPr="00302D99">
        <w:rPr>
          <w:rFonts w:ascii="Arial" w:hAnsi="Arial" w:cs="Arial"/>
        </w:rPr>
        <w:t>Sat</w:t>
      </w:r>
      <w:proofErr w:type="spellEnd"/>
      <w:r w:rsidRPr="00302D99">
        <w:rPr>
          <w:rFonts w:ascii="Arial" w:hAnsi="Arial" w:cs="Arial"/>
        </w:rPr>
        <w:t xml:space="preserve">, es un línea muy delgada que al contribuyente le toca demostrar o contar con los elementos necesarios para evitar caer en el supuesto del artículo 69-b del </w:t>
      </w:r>
      <w:proofErr w:type="spellStart"/>
      <w:r w:rsidRPr="00302D99">
        <w:rPr>
          <w:rFonts w:ascii="Arial" w:hAnsi="Arial" w:cs="Arial"/>
        </w:rPr>
        <w:t>CFF</w:t>
      </w:r>
      <w:proofErr w:type="spellEnd"/>
      <w:r w:rsidRPr="00302D99">
        <w:rPr>
          <w:rFonts w:ascii="Arial" w:hAnsi="Arial" w:cs="Arial"/>
        </w:rPr>
        <w:t xml:space="preserve">, ya que en los grupos de empresas las funciones que realizan las diferentes partes del grupo no necesariamente cumplen el </w:t>
      </w:r>
      <w:r w:rsidR="00105559" w:rsidRPr="00302D99">
        <w:rPr>
          <w:rFonts w:ascii="Arial" w:hAnsi="Arial" w:cs="Arial"/>
        </w:rPr>
        <w:t>requisito</w:t>
      </w:r>
      <w:r w:rsidRPr="00302D99">
        <w:rPr>
          <w:rFonts w:ascii="Arial" w:hAnsi="Arial" w:cs="Arial"/>
        </w:rPr>
        <w:t xml:space="preserve"> del primer párrafo del 69-b </w:t>
      </w:r>
      <w:proofErr w:type="spellStart"/>
      <w:r w:rsidR="00605DCF">
        <w:rPr>
          <w:rFonts w:ascii="Arial" w:hAnsi="Arial" w:cs="Arial"/>
        </w:rPr>
        <w:t>CFF</w:t>
      </w:r>
      <w:proofErr w:type="spellEnd"/>
      <w:r w:rsidRPr="00302D99">
        <w:rPr>
          <w:rFonts w:ascii="Arial" w:hAnsi="Arial" w:cs="Arial"/>
        </w:rPr>
        <w:t xml:space="preserve">, </w:t>
      </w:r>
      <w:bookmarkStart w:id="0" w:name="_GoBack"/>
      <w:bookmarkEnd w:id="0"/>
      <w:r w:rsidRPr="00302D99">
        <w:rPr>
          <w:rFonts w:ascii="Arial" w:hAnsi="Arial" w:cs="Arial"/>
        </w:rPr>
        <w:t xml:space="preserve">en contar con infraestructura, el personal suficiente, y los activos que le permitan </w:t>
      </w:r>
      <w:r w:rsidRPr="00302D99">
        <w:rPr>
          <w:rFonts w:ascii="Arial" w:hAnsi="Arial" w:cs="Arial"/>
        </w:rPr>
        <w:lastRenderedPageBreak/>
        <w:t>superar este supuesto que la autoridad fiscal pueda imponer a alguna empresa o a todas de un grupo de empresas, es aquí donde el estudi</w:t>
      </w:r>
      <w:r w:rsidR="00675589" w:rsidRPr="00302D99">
        <w:rPr>
          <w:rFonts w:ascii="Arial" w:hAnsi="Arial" w:cs="Arial"/>
        </w:rPr>
        <w:t>o</w:t>
      </w:r>
      <w:r w:rsidRPr="00302D99">
        <w:rPr>
          <w:rFonts w:ascii="Arial" w:hAnsi="Arial" w:cs="Arial"/>
        </w:rPr>
        <w:t xml:space="preserve"> toma mayor importancia ya que en este se realiza un análisis de las funciones de cada parte relacionada, y en que parte del </w:t>
      </w:r>
      <w:r w:rsidR="00D16A73" w:rsidRPr="00302D99">
        <w:rPr>
          <w:rFonts w:ascii="Arial" w:hAnsi="Arial" w:cs="Arial"/>
        </w:rPr>
        <w:t>proceso</w:t>
      </w:r>
      <w:r w:rsidRPr="00302D99">
        <w:rPr>
          <w:rFonts w:ascii="Arial" w:hAnsi="Arial" w:cs="Arial"/>
        </w:rPr>
        <w:t xml:space="preserve"> participa, ya sea en capital, riesgo, </w:t>
      </w:r>
      <w:r w:rsidR="00D16A73" w:rsidRPr="00302D99">
        <w:rPr>
          <w:rFonts w:ascii="Arial" w:hAnsi="Arial" w:cs="Arial"/>
        </w:rPr>
        <w:t>innovación</w:t>
      </w:r>
      <w:r w:rsidRPr="00302D99">
        <w:rPr>
          <w:rFonts w:ascii="Arial" w:hAnsi="Arial" w:cs="Arial"/>
        </w:rPr>
        <w:t xml:space="preserve"> o en mantenimiento de la marca etc.</w:t>
      </w:r>
    </w:p>
    <w:p w14:paraId="4C83599A" w14:textId="77777777" w:rsidR="00302D99" w:rsidRPr="00302D99" w:rsidRDefault="00302D99" w:rsidP="00AF22B9">
      <w:pPr>
        <w:spacing w:line="360" w:lineRule="auto"/>
        <w:jc w:val="both"/>
        <w:rPr>
          <w:rFonts w:ascii="Arial" w:hAnsi="Arial" w:cs="Arial"/>
        </w:rPr>
      </w:pPr>
    </w:p>
    <w:p w14:paraId="5FB3D38F" w14:textId="40B2B11D" w:rsidR="00965E40" w:rsidRPr="00302D99" w:rsidRDefault="00302D99" w:rsidP="00AF22B9">
      <w:pPr>
        <w:spacing w:line="360" w:lineRule="auto"/>
        <w:jc w:val="both"/>
        <w:rPr>
          <w:rFonts w:ascii="Arial" w:hAnsi="Arial" w:cs="Arial"/>
        </w:rPr>
      </w:pPr>
      <w:r w:rsidRPr="00302D99">
        <w:rPr>
          <w:rFonts w:ascii="Arial" w:hAnsi="Arial" w:cs="Arial"/>
        </w:rPr>
        <w:t xml:space="preserve">En este sentido, es conveniente hacer el estudio de precios de transferencia y presentar las declaraciones informativas de partes relacionadas, donde manifestamos que dichas operaciones son entre partes relacionadas y que cumplen con el requisito de estar a valor de mercado a través de su análisis funcional, sin que deje dudas de que se trata de una operación entre partes relacionadas y no en un simulación de operaciones susceptible de ser relacionada como tal,  perdiendo los efectos fiscales de los comprobantes. </w:t>
      </w:r>
      <w:r w:rsidR="00965E40" w:rsidRPr="00302D99">
        <w:rPr>
          <w:rFonts w:ascii="Arial" w:hAnsi="Arial" w:cs="Arial"/>
        </w:rPr>
        <w:t xml:space="preserve"> </w:t>
      </w:r>
    </w:p>
    <w:p w14:paraId="5BA05ABF" w14:textId="77777777" w:rsidR="00965E40" w:rsidRDefault="00965E40" w:rsidP="00AF22B9">
      <w:pPr>
        <w:spacing w:line="360" w:lineRule="auto"/>
        <w:jc w:val="both"/>
        <w:rPr>
          <w:rFonts w:ascii="Arial" w:hAnsi="Arial" w:cs="Arial"/>
          <w:highlight w:val="yellow"/>
        </w:rPr>
      </w:pPr>
    </w:p>
    <w:p w14:paraId="07D3FC66" w14:textId="77777777" w:rsidR="008005AB" w:rsidRDefault="008005AB" w:rsidP="00AF22B9">
      <w:pPr>
        <w:spacing w:line="360" w:lineRule="auto"/>
        <w:jc w:val="both"/>
        <w:rPr>
          <w:rFonts w:ascii="Arial" w:hAnsi="Arial" w:cs="Arial"/>
        </w:rPr>
      </w:pPr>
    </w:p>
    <w:p w14:paraId="576D33CF" w14:textId="77777777" w:rsidR="007C4331" w:rsidRDefault="007C4331" w:rsidP="00AF22B9">
      <w:pPr>
        <w:spacing w:line="360" w:lineRule="auto"/>
        <w:jc w:val="both"/>
        <w:rPr>
          <w:rFonts w:ascii="Arial" w:hAnsi="Arial" w:cs="Arial"/>
        </w:rPr>
      </w:pPr>
    </w:p>
    <w:p w14:paraId="52FB3C25" w14:textId="7E9DDF1D" w:rsidR="0038246F" w:rsidRDefault="0038246F" w:rsidP="00B35DC2">
      <w:pPr>
        <w:pStyle w:val="CM2"/>
        <w:spacing w:line="360" w:lineRule="auto"/>
        <w:jc w:val="both"/>
        <w:rPr>
          <w:rFonts w:ascii="Arial" w:hAnsi="Arial" w:cs="Arial"/>
          <w:color w:val="221E1F"/>
        </w:rPr>
      </w:pPr>
      <w:r>
        <w:rPr>
          <w:rFonts w:ascii="Arial" w:hAnsi="Arial" w:cs="Arial"/>
          <w:color w:val="221E1F"/>
        </w:rPr>
        <w:t>.</w:t>
      </w:r>
    </w:p>
    <w:p w14:paraId="12A00557" w14:textId="77777777" w:rsidR="0038246F" w:rsidRDefault="0038246F" w:rsidP="00B35DC2">
      <w:pPr>
        <w:pStyle w:val="CM2"/>
        <w:spacing w:line="360" w:lineRule="auto"/>
        <w:jc w:val="both"/>
        <w:rPr>
          <w:rFonts w:ascii="Arial" w:hAnsi="Arial" w:cs="Arial"/>
          <w:color w:val="221E1F"/>
        </w:rPr>
      </w:pPr>
    </w:p>
    <w:p w14:paraId="1FF99175" w14:textId="77777777" w:rsidR="0038246F" w:rsidRDefault="0038246F" w:rsidP="00B35DC2">
      <w:pPr>
        <w:pStyle w:val="CM2"/>
        <w:spacing w:line="360" w:lineRule="auto"/>
        <w:jc w:val="both"/>
        <w:rPr>
          <w:rFonts w:ascii="Arial" w:hAnsi="Arial" w:cs="Arial"/>
          <w:color w:val="221E1F"/>
        </w:rPr>
      </w:pPr>
    </w:p>
    <w:p w14:paraId="15151DE6" w14:textId="77777777" w:rsidR="0038246F" w:rsidRDefault="0038246F" w:rsidP="0038246F">
      <w:pPr>
        <w:pStyle w:val="CM2"/>
        <w:spacing w:line="360" w:lineRule="auto"/>
        <w:jc w:val="both"/>
        <w:rPr>
          <w:rFonts w:ascii="Arial" w:hAnsi="Arial" w:cs="Arial"/>
          <w:color w:val="221E1F"/>
          <w:lang w:val="en-US"/>
        </w:rPr>
      </w:pPr>
    </w:p>
    <w:p w14:paraId="11BDEFF5" w14:textId="77777777" w:rsidR="00E92C12" w:rsidRDefault="00E92C12" w:rsidP="00E92C12">
      <w:pPr>
        <w:rPr>
          <w:lang w:val="en-US" w:eastAsia="es-MX"/>
        </w:rPr>
      </w:pPr>
    </w:p>
    <w:p w14:paraId="3EAB33D0" w14:textId="77777777" w:rsidR="00E92C12" w:rsidRDefault="00E92C12" w:rsidP="00E92C12">
      <w:pPr>
        <w:rPr>
          <w:lang w:val="en-US" w:eastAsia="es-MX"/>
        </w:rPr>
      </w:pPr>
    </w:p>
    <w:p w14:paraId="48EF9A0A" w14:textId="77777777" w:rsidR="00E92C12" w:rsidRDefault="00E92C12" w:rsidP="00E92C12">
      <w:pPr>
        <w:rPr>
          <w:lang w:val="en-US" w:eastAsia="es-MX"/>
        </w:rPr>
      </w:pPr>
    </w:p>
    <w:p w14:paraId="2AF5458E" w14:textId="77777777" w:rsidR="00E92C12" w:rsidRDefault="00E92C12" w:rsidP="00E92C12">
      <w:pPr>
        <w:rPr>
          <w:lang w:val="en-US" w:eastAsia="es-MX"/>
        </w:rPr>
      </w:pPr>
    </w:p>
    <w:p w14:paraId="1E7A1CD9" w14:textId="77777777" w:rsidR="00E92C12" w:rsidRDefault="00E92C12" w:rsidP="00E92C12">
      <w:pPr>
        <w:rPr>
          <w:lang w:val="en-US" w:eastAsia="es-MX"/>
        </w:rPr>
      </w:pPr>
    </w:p>
    <w:p w14:paraId="4DB17684" w14:textId="77777777" w:rsidR="00E92C12" w:rsidRDefault="00E92C12" w:rsidP="00E92C12">
      <w:pPr>
        <w:rPr>
          <w:lang w:val="en-US" w:eastAsia="es-MX"/>
        </w:rPr>
      </w:pPr>
    </w:p>
    <w:p w14:paraId="2C1C7CF2" w14:textId="77777777" w:rsidR="00E92C12" w:rsidRDefault="00E92C12" w:rsidP="00E92C12">
      <w:pPr>
        <w:rPr>
          <w:lang w:val="en-US" w:eastAsia="es-MX"/>
        </w:rPr>
      </w:pPr>
    </w:p>
    <w:p w14:paraId="5BF22555" w14:textId="77777777" w:rsidR="00E92C12" w:rsidRDefault="00E92C12" w:rsidP="00E92C12">
      <w:pPr>
        <w:rPr>
          <w:lang w:val="en-US" w:eastAsia="es-MX"/>
        </w:rPr>
      </w:pPr>
    </w:p>
    <w:p w14:paraId="738F0A6A" w14:textId="77777777" w:rsidR="00E92C12" w:rsidRDefault="00E92C12" w:rsidP="00E92C12">
      <w:pPr>
        <w:rPr>
          <w:lang w:val="en-US" w:eastAsia="es-MX"/>
        </w:rPr>
      </w:pPr>
    </w:p>
    <w:p w14:paraId="518F6ADC" w14:textId="77777777" w:rsidR="00E92C12" w:rsidRDefault="00E92C12" w:rsidP="00E92C12">
      <w:pPr>
        <w:rPr>
          <w:lang w:val="en-US" w:eastAsia="es-MX"/>
        </w:rPr>
      </w:pPr>
    </w:p>
    <w:p w14:paraId="0603588F" w14:textId="77777777" w:rsidR="00E92C12" w:rsidRDefault="00E92C12" w:rsidP="00E92C12">
      <w:pPr>
        <w:rPr>
          <w:lang w:val="en-US" w:eastAsia="es-MX"/>
        </w:rPr>
      </w:pPr>
    </w:p>
    <w:p w14:paraId="4969293C" w14:textId="77777777" w:rsidR="00E92C12" w:rsidRDefault="00E92C12" w:rsidP="00E92C12">
      <w:pPr>
        <w:rPr>
          <w:lang w:val="en-US" w:eastAsia="es-MX"/>
        </w:rPr>
      </w:pPr>
    </w:p>
    <w:p w14:paraId="625FC0FB" w14:textId="77777777" w:rsidR="00E92C12" w:rsidRDefault="00E92C12" w:rsidP="00E92C12">
      <w:pPr>
        <w:rPr>
          <w:lang w:val="en-US" w:eastAsia="es-MX"/>
        </w:rPr>
      </w:pPr>
    </w:p>
    <w:p w14:paraId="0E7B4364" w14:textId="77777777" w:rsidR="00E92C12" w:rsidRPr="00C81F33" w:rsidRDefault="00E92C12" w:rsidP="00E92C12">
      <w:pPr>
        <w:rPr>
          <w:lang w:eastAsia="es-MX"/>
        </w:rPr>
      </w:pPr>
    </w:p>
    <w:p w14:paraId="29D4FD84" w14:textId="521FB06F" w:rsidR="00E92C12" w:rsidRDefault="00C81F33" w:rsidP="00E92C12">
      <w:pPr>
        <w:rPr>
          <w:lang w:val="en-US" w:eastAsia="es-MX"/>
        </w:rPr>
      </w:pPr>
      <w:r w:rsidRPr="00C81F33">
        <w:rPr>
          <w:lang w:eastAsia="es-MX"/>
        </w:rPr>
        <w:lastRenderedPageBreak/>
        <w:t>Bibliografía</w:t>
      </w:r>
      <w:r w:rsidR="00E92C12">
        <w:rPr>
          <w:lang w:val="en-US" w:eastAsia="es-MX"/>
        </w:rPr>
        <w:t>.</w:t>
      </w:r>
    </w:p>
    <w:p w14:paraId="7771089E" w14:textId="77777777" w:rsidR="00E92C12" w:rsidRPr="00C81F33" w:rsidRDefault="00E92C12" w:rsidP="00E92C12">
      <w:pPr>
        <w:rPr>
          <w:lang w:eastAsia="es-MX"/>
        </w:rPr>
      </w:pPr>
    </w:p>
    <w:p w14:paraId="46648A5D" w14:textId="3C3469D1" w:rsidR="00E92C12" w:rsidRPr="00AB299A" w:rsidRDefault="005A580E" w:rsidP="00AB299A">
      <w:pPr>
        <w:pStyle w:val="Prrafodelista"/>
        <w:numPr>
          <w:ilvl w:val="0"/>
          <w:numId w:val="1"/>
        </w:numPr>
        <w:ind w:right="-660"/>
        <w:rPr>
          <w:lang w:eastAsia="es-MX"/>
        </w:rPr>
      </w:pPr>
      <w:r>
        <w:rPr>
          <w:lang w:eastAsia="es-MX"/>
        </w:rPr>
        <w:t>Impuesto S</w:t>
      </w:r>
      <w:r w:rsidR="00E92C12" w:rsidRPr="00C81F33">
        <w:rPr>
          <w:lang w:eastAsia="es-MX"/>
        </w:rPr>
        <w:t>obre</w:t>
      </w:r>
      <w:r w:rsidR="00E92C12" w:rsidRPr="00AB299A">
        <w:rPr>
          <w:lang w:val="en-US" w:eastAsia="es-MX"/>
        </w:rPr>
        <w:t xml:space="preserve"> la</w:t>
      </w:r>
      <w:r>
        <w:rPr>
          <w:lang w:eastAsia="es-MX"/>
        </w:rPr>
        <w:t xml:space="preserve"> R</w:t>
      </w:r>
      <w:r w:rsidR="00E92C12" w:rsidRPr="00C81F33">
        <w:rPr>
          <w:lang w:eastAsia="es-MX"/>
        </w:rPr>
        <w:t>enta</w:t>
      </w:r>
      <w:r w:rsidRPr="00AB299A">
        <w:rPr>
          <w:lang w:val="en-US" w:eastAsia="es-MX"/>
        </w:rPr>
        <w:t xml:space="preserve">, </w:t>
      </w:r>
      <w:hyperlink r:id="rId9" w:history="1">
        <w:r w:rsidRPr="00AB299A">
          <w:rPr>
            <w:rStyle w:val="Hipervnculo"/>
            <w:lang w:val="en-US" w:eastAsia="es-MX"/>
          </w:rPr>
          <w:t>http://www.diputados.gob.mx/LeyesBiblio/pdf/LISR.pdf</w:t>
        </w:r>
      </w:hyperlink>
      <w:r w:rsidRPr="00AB299A">
        <w:rPr>
          <w:lang w:val="en-US" w:eastAsia="es-MX"/>
        </w:rPr>
        <w:t xml:space="preserve"> </w:t>
      </w:r>
    </w:p>
    <w:p w14:paraId="3651B9EE" w14:textId="2E01DF55" w:rsidR="00AB299A" w:rsidRDefault="00AB299A" w:rsidP="00AB299A">
      <w:pPr>
        <w:pStyle w:val="Prrafodelista"/>
        <w:ind w:right="-660"/>
        <w:rPr>
          <w:lang w:eastAsia="es-MX"/>
        </w:rPr>
      </w:pPr>
    </w:p>
    <w:p w14:paraId="214066BB" w14:textId="77777777" w:rsidR="00E92C12" w:rsidRDefault="00E92C12" w:rsidP="00E92C12">
      <w:pPr>
        <w:rPr>
          <w:lang w:val="en-US" w:eastAsia="es-MX"/>
        </w:rPr>
      </w:pPr>
    </w:p>
    <w:p w14:paraId="74B6F1AC" w14:textId="77777777" w:rsidR="00E92C12" w:rsidRDefault="00E92C12" w:rsidP="00E92C12">
      <w:pPr>
        <w:rPr>
          <w:lang w:val="en-US" w:eastAsia="es-MX"/>
        </w:rPr>
      </w:pPr>
    </w:p>
    <w:p w14:paraId="3C53D722" w14:textId="77777777" w:rsidR="00E92C12" w:rsidRDefault="00E92C12" w:rsidP="00E92C12">
      <w:pPr>
        <w:rPr>
          <w:lang w:val="en-US" w:eastAsia="es-MX"/>
        </w:rPr>
      </w:pPr>
    </w:p>
    <w:p w14:paraId="6F8FC6CB" w14:textId="77777777" w:rsidR="00E92C12" w:rsidRDefault="00E92C12" w:rsidP="00E92C12">
      <w:pPr>
        <w:rPr>
          <w:lang w:val="en-US" w:eastAsia="es-MX"/>
        </w:rPr>
      </w:pPr>
    </w:p>
    <w:p w14:paraId="79CA4BDC" w14:textId="77777777" w:rsidR="00E92C12" w:rsidRDefault="00E92C12" w:rsidP="00E92C12">
      <w:pPr>
        <w:rPr>
          <w:lang w:val="en-US" w:eastAsia="es-MX"/>
        </w:rPr>
      </w:pPr>
    </w:p>
    <w:p w14:paraId="6B0E6E8B" w14:textId="77777777" w:rsidR="00E92C12" w:rsidRDefault="00E92C12" w:rsidP="00E92C12">
      <w:pPr>
        <w:rPr>
          <w:lang w:val="en-US" w:eastAsia="es-MX"/>
        </w:rPr>
      </w:pPr>
    </w:p>
    <w:p w14:paraId="23B3B02D" w14:textId="77777777" w:rsidR="00E92C12" w:rsidRDefault="00E92C12" w:rsidP="00E92C12">
      <w:pPr>
        <w:rPr>
          <w:lang w:val="en-US" w:eastAsia="es-MX"/>
        </w:rPr>
      </w:pPr>
    </w:p>
    <w:p w14:paraId="3F7A748E" w14:textId="77777777" w:rsidR="00E92C12" w:rsidRDefault="00E92C12" w:rsidP="00E92C12">
      <w:pPr>
        <w:rPr>
          <w:lang w:val="en-US" w:eastAsia="es-MX"/>
        </w:rPr>
      </w:pPr>
    </w:p>
    <w:p w14:paraId="57D64CFE" w14:textId="77777777" w:rsidR="00E92C12" w:rsidRDefault="00E92C12" w:rsidP="00E92C12">
      <w:pPr>
        <w:rPr>
          <w:lang w:val="en-US" w:eastAsia="es-MX"/>
        </w:rPr>
      </w:pPr>
    </w:p>
    <w:p w14:paraId="53548B35" w14:textId="77777777" w:rsidR="00E92C12" w:rsidRDefault="00E92C12" w:rsidP="00E92C12">
      <w:pPr>
        <w:rPr>
          <w:lang w:val="en-US" w:eastAsia="es-MX"/>
        </w:rPr>
      </w:pPr>
    </w:p>
    <w:p w14:paraId="6D6D4F69" w14:textId="77777777" w:rsidR="00E92C12" w:rsidRDefault="00E92C12" w:rsidP="00E92C12">
      <w:pPr>
        <w:rPr>
          <w:lang w:val="en-US" w:eastAsia="es-MX"/>
        </w:rPr>
      </w:pPr>
    </w:p>
    <w:p w14:paraId="158C6336" w14:textId="77777777" w:rsidR="00E92C12" w:rsidRDefault="00E92C12" w:rsidP="00E92C12">
      <w:pPr>
        <w:rPr>
          <w:lang w:val="en-US" w:eastAsia="es-MX"/>
        </w:rPr>
      </w:pPr>
    </w:p>
    <w:p w14:paraId="45C6D008" w14:textId="77777777" w:rsidR="00E92C12" w:rsidRPr="00E92C12" w:rsidRDefault="00E92C12" w:rsidP="00E92C12">
      <w:pPr>
        <w:rPr>
          <w:lang w:val="en-US" w:eastAsia="es-MX"/>
        </w:rPr>
      </w:pPr>
    </w:p>
    <w:sectPr w:rsidR="00E92C12" w:rsidRPr="00E92C12" w:rsidSect="00E77F16">
      <w:headerReference w:type="default" r:id="rId10"/>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707D" w14:textId="77777777" w:rsidR="00E72635" w:rsidRDefault="00E72635" w:rsidP="00B54729">
      <w:r>
        <w:separator/>
      </w:r>
    </w:p>
  </w:endnote>
  <w:endnote w:type="continuationSeparator" w:id="0">
    <w:p w14:paraId="09EE304D" w14:textId="77777777" w:rsidR="00E72635" w:rsidRDefault="00E72635" w:rsidP="00B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MBKP T+ Knowledg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7592" w14:textId="77777777" w:rsidR="00E72635" w:rsidRDefault="00E72635" w:rsidP="00B54729">
      <w:r>
        <w:separator/>
      </w:r>
    </w:p>
  </w:footnote>
  <w:footnote w:type="continuationSeparator" w:id="0">
    <w:p w14:paraId="3B8F5EE5" w14:textId="77777777" w:rsidR="00E72635" w:rsidRDefault="00E72635" w:rsidP="00B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41327BCF" w14:textId="0EBFE96E" w:rsidR="00753AC3" w:rsidRDefault="00753AC3">
        <w:pPr>
          <w:pStyle w:val="Encabezado"/>
          <w:jc w:val="right"/>
        </w:pPr>
        <w:r>
          <w:rPr>
            <w:lang w:val="es-ES"/>
          </w:rPr>
          <w:t xml:space="preserve">Página </w:t>
        </w:r>
        <w:r>
          <w:rPr>
            <w:b/>
            <w:bCs/>
          </w:rPr>
          <w:fldChar w:fldCharType="begin"/>
        </w:r>
        <w:r>
          <w:rPr>
            <w:b/>
            <w:bCs/>
          </w:rPr>
          <w:instrText>PAGE</w:instrText>
        </w:r>
        <w:r>
          <w:rPr>
            <w:b/>
            <w:bCs/>
          </w:rPr>
          <w:fldChar w:fldCharType="separate"/>
        </w:r>
        <w:r w:rsidR="00605DC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5DCF">
          <w:rPr>
            <w:b/>
            <w:bCs/>
            <w:noProof/>
          </w:rPr>
          <w:t>6</w:t>
        </w:r>
        <w:r>
          <w:rPr>
            <w:b/>
            <w:bCs/>
          </w:rPr>
          <w:fldChar w:fldCharType="end"/>
        </w:r>
      </w:p>
    </w:sdtContent>
  </w:sdt>
  <w:p w14:paraId="333BCC71" w14:textId="77777777" w:rsidR="00753AC3" w:rsidRDefault="00753AC3" w:rsidP="00B5472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3F6"/>
    <w:multiLevelType w:val="hybridMultilevel"/>
    <w:tmpl w:val="C720C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E86C3C"/>
    <w:multiLevelType w:val="multilevel"/>
    <w:tmpl w:val="5000A2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B48"/>
    <w:rsid w:val="00035895"/>
    <w:rsid w:val="00061B48"/>
    <w:rsid w:val="0008551F"/>
    <w:rsid w:val="000C3115"/>
    <w:rsid w:val="00105559"/>
    <w:rsid w:val="001217A4"/>
    <w:rsid w:val="00125E01"/>
    <w:rsid w:val="001B118C"/>
    <w:rsid w:val="001D0D8C"/>
    <w:rsid w:val="002031D5"/>
    <w:rsid w:val="00234B90"/>
    <w:rsid w:val="00235C28"/>
    <w:rsid w:val="00244B78"/>
    <w:rsid w:val="002A2931"/>
    <w:rsid w:val="002C4F63"/>
    <w:rsid w:val="00302D99"/>
    <w:rsid w:val="00316906"/>
    <w:rsid w:val="0038246F"/>
    <w:rsid w:val="003903DB"/>
    <w:rsid w:val="0041309F"/>
    <w:rsid w:val="00482A70"/>
    <w:rsid w:val="004920C4"/>
    <w:rsid w:val="004A5C26"/>
    <w:rsid w:val="004F4852"/>
    <w:rsid w:val="005A580E"/>
    <w:rsid w:val="00605DCF"/>
    <w:rsid w:val="0061306A"/>
    <w:rsid w:val="006251CE"/>
    <w:rsid w:val="00675589"/>
    <w:rsid w:val="00695E76"/>
    <w:rsid w:val="00710063"/>
    <w:rsid w:val="00753AC3"/>
    <w:rsid w:val="00766474"/>
    <w:rsid w:val="007A4E61"/>
    <w:rsid w:val="007C4331"/>
    <w:rsid w:val="008005AB"/>
    <w:rsid w:val="00856865"/>
    <w:rsid w:val="008A5F73"/>
    <w:rsid w:val="008D2F8C"/>
    <w:rsid w:val="008F00E9"/>
    <w:rsid w:val="009054D0"/>
    <w:rsid w:val="00906002"/>
    <w:rsid w:val="00921B29"/>
    <w:rsid w:val="00965E40"/>
    <w:rsid w:val="009D42D8"/>
    <w:rsid w:val="00A36D2B"/>
    <w:rsid w:val="00A66F37"/>
    <w:rsid w:val="00A735C9"/>
    <w:rsid w:val="00AB299A"/>
    <w:rsid w:val="00AF22B9"/>
    <w:rsid w:val="00B35DC2"/>
    <w:rsid w:val="00B54729"/>
    <w:rsid w:val="00B9429E"/>
    <w:rsid w:val="00C003B6"/>
    <w:rsid w:val="00C064A7"/>
    <w:rsid w:val="00C710DB"/>
    <w:rsid w:val="00C81F33"/>
    <w:rsid w:val="00C905E8"/>
    <w:rsid w:val="00C90F87"/>
    <w:rsid w:val="00D16A73"/>
    <w:rsid w:val="00D312F0"/>
    <w:rsid w:val="00DF0C15"/>
    <w:rsid w:val="00DF6996"/>
    <w:rsid w:val="00E62A3A"/>
    <w:rsid w:val="00E72635"/>
    <w:rsid w:val="00E77F16"/>
    <w:rsid w:val="00E92C12"/>
    <w:rsid w:val="00F07982"/>
    <w:rsid w:val="00FE420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632"/>
  <w15:docId w15:val="{4DC09E6B-D40F-4748-A330-622CD884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4">
    <w:name w:val="CM4"/>
    <w:basedOn w:val="Normal"/>
    <w:next w:val="Normal"/>
    <w:uiPriority w:val="99"/>
    <w:rsid w:val="001B118C"/>
    <w:pPr>
      <w:widowControl w:val="0"/>
      <w:autoSpaceDE w:val="0"/>
      <w:autoSpaceDN w:val="0"/>
      <w:adjustRightInd w:val="0"/>
    </w:pPr>
    <w:rPr>
      <w:rFonts w:ascii="OMBKP T+ Knowledge" w:hAnsi="OMBKP T+ Knowledge"/>
      <w:lang w:eastAsia="es-MX"/>
    </w:rPr>
  </w:style>
  <w:style w:type="paragraph" w:customStyle="1" w:styleId="CM2">
    <w:name w:val="CM2"/>
    <w:basedOn w:val="Normal"/>
    <w:next w:val="Normal"/>
    <w:uiPriority w:val="99"/>
    <w:rsid w:val="001B118C"/>
    <w:pPr>
      <w:widowControl w:val="0"/>
      <w:autoSpaceDE w:val="0"/>
      <w:autoSpaceDN w:val="0"/>
      <w:adjustRightInd w:val="0"/>
      <w:spacing w:line="268" w:lineRule="atLeast"/>
    </w:pPr>
    <w:rPr>
      <w:rFonts w:ascii="OMBKP T+ Knowledge" w:hAnsi="OMBKP T+ Knowledge"/>
      <w:lang w:eastAsia="es-MX"/>
    </w:rPr>
  </w:style>
  <w:style w:type="paragraph" w:customStyle="1" w:styleId="CM5">
    <w:name w:val="CM5"/>
    <w:basedOn w:val="Normal"/>
    <w:next w:val="Normal"/>
    <w:uiPriority w:val="99"/>
    <w:rsid w:val="001B118C"/>
    <w:pPr>
      <w:widowControl w:val="0"/>
      <w:autoSpaceDE w:val="0"/>
      <w:autoSpaceDN w:val="0"/>
      <w:adjustRightInd w:val="0"/>
    </w:pPr>
    <w:rPr>
      <w:rFonts w:ascii="OMBKP T+ Knowledge" w:hAnsi="OMBKP T+ Knowledge"/>
      <w:lang w:eastAsia="es-MX"/>
    </w:rPr>
  </w:style>
  <w:style w:type="paragraph" w:customStyle="1" w:styleId="Default">
    <w:name w:val="Default"/>
    <w:rsid w:val="00C905E8"/>
    <w:pPr>
      <w:widowControl w:val="0"/>
      <w:autoSpaceDE w:val="0"/>
      <w:autoSpaceDN w:val="0"/>
      <w:adjustRightInd w:val="0"/>
    </w:pPr>
    <w:rPr>
      <w:rFonts w:ascii="OMBKP T+ Knowledge" w:hAnsi="OMBKP T+ Knowledge" w:cs="OMBKP T+ Knowledge"/>
      <w:color w:val="000000"/>
      <w:lang w:eastAsia="es-MX"/>
    </w:rPr>
  </w:style>
  <w:style w:type="paragraph" w:styleId="Textodeglobo">
    <w:name w:val="Balloon Text"/>
    <w:basedOn w:val="Normal"/>
    <w:link w:val="TextodegloboCar"/>
    <w:uiPriority w:val="99"/>
    <w:semiHidden/>
    <w:unhideWhenUsed/>
    <w:rsid w:val="00C905E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5E8"/>
    <w:rPr>
      <w:rFonts w:ascii="Tahoma" w:hAnsi="Tahoma" w:cs="Tahoma"/>
      <w:sz w:val="16"/>
      <w:szCs w:val="16"/>
    </w:rPr>
  </w:style>
  <w:style w:type="paragraph" w:customStyle="1" w:styleId="CM1">
    <w:name w:val="CM1"/>
    <w:basedOn w:val="Default"/>
    <w:next w:val="Default"/>
    <w:uiPriority w:val="99"/>
    <w:rsid w:val="00C905E8"/>
    <w:pPr>
      <w:spacing w:line="266" w:lineRule="atLeast"/>
    </w:pPr>
    <w:rPr>
      <w:rFonts w:cstheme="minorBidi"/>
      <w:color w:val="auto"/>
    </w:rPr>
  </w:style>
  <w:style w:type="paragraph" w:customStyle="1" w:styleId="CM14">
    <w:name w:val="CM14"/>
    <w:basedOn w:val="Default"/>
    <w:next w:val="Default"/>
    <w:uiPriority w:val="99"/>
    <w:rsid w:val="00F07982"/>
    <w:rPr>
      <w:rFonts w:ascii="Franklin Gothic Medium" w:hAnsi="Franklin Gothic Medium" w:cstheme="minorBidi"/>
      <w:color w:val="auto"/>
    </w:rPr>
  </w:style>
  <w:style w:type="paragraph" w:customStyle="1" w:styleId="CM9">
    <w:name w:val="CM9"/>
    <w:basedOn w:val="Default"/>
    <w:next w:val="Default"/>
    <w:uiPriority w:val="99"/>
    <w:rsid w:val="00AF22B9"/>
    <w:rPr>
      <w:rFonts w:ascii="Franklin Gothic Medium" w:hAnsi="Franklin Gothic Medium" w:cstheme="minorBidi"/>
      <w:color w:val="auto"/>
    </w:rPr>
  </w:style>
  <w:style w:type="paragraph" w:customStyle="1" w:styleId="CM15">
    <w:name w:val="CM15"/>
    <w:basedOn w:val="Default"/>
    <w:next w:val="Default"/>
    <w:uiPriority w:val="99"/>
    <w:rsid w:val="00AF22B9"/>
    <w:rPr>
      <w:rFonts w:ascii="Franklin Gothic Medium" w:hAnsi="Franklin Gothic Medium" w:cstheme="minorBidi"/>
      <w:color w:val="auto"/>
    </w:rPr>
  </w:style>
  <w:style w:type="character" w:styleId="Hipervnculo">
    <w:name w:val="Hyperlink"/>
    <w:basedOn w:val="Fuentedeprrafopredeter"/>
    <w:uiPriority w:val="99"/>
    <w:unhideWhenUsed/>
    <w:rsid w:val="00AF22B9"/>
    <w:rPr>
      <w:color w:val="0563C1" w:themeColor="hyperlink"/>
      <w:u w:val="single"/>
    </w:rPr>
  </w:style>
  <w:style w:type="paragraph" w:styleId="Sinespaciado">
    <w:name w:val="No Spacing"/>
    <w:uiPriority w:val="1"/>
    <w:qFormat/>
    <w:rsid w:val="00E77F16"/>
  </w:style>
  <w:style w:type="paragraph" w:styleId="Encabezado">
    <w:name w:val="header"/>
    <w:basedOn w:val="Normal"/>
    <w:link w:val="EncabezadoCar"/>
    <w:uiPriority w:val="99"/>
    <w:unhideWhenUsed/>
    <w:rsid w:val="00B54729"/>
    <w:pPr>
      <w:tabs>
        <w:tab w:val="center" w:pos="4419"/>
        <w:tab w:val="right" w:pos="8838"/>
      </w:tabs>
    </w:pPr>
  </w:style>
  <w:style w:type="character" w:customStyle="1" w:styleId="EncabezadoCar">
    <w:name w:val="Encabezado Car"/>
    <w:basedOn w:val="Fuentedeprrafopredeter"/>
    <w:link w:val="Encabezado"/>
    <w:uiPriority w:val="99"/>
    <w:rsid w:val="00B54729"/>
  </w:style>
  <w:style w:type="paragraph" w:styleId="Piedepgina">
    <w:name w:val="footer"/>
    <w:basedOn w:val="Normal"/>
    <w:link w:val="PiedepginaCar"/>
    <w:uiPriority w:val="99"/>
    <w:unhideWhenUsed/>
    <w:rsid w:val="00B54729"/>
    <w:pPr>
      <w:tabs>
        <w:tab w:val="center" w:pos="4419"/>
        <w:tab w:val="right" w:pos="8838"/>
      </w:tabs>
    </w:pPr>
  </w:style>
  <w:style w:type="character" w:customStyle="1" w:styleId="PiedepginaCar">
    <w:name w:val="Pie de página Car"/>
    <w:basedOn w:val="Fuentedeprrafopredeter"/>
    <w:link w:val="Piedepgina"/>
    <w:uiPriority w:val="99"/>
    <w:rsid w:val="00B54729"/>
  </w:style>
  <w:style w:type="paragraph" w:styleId="Textonotapie">
    <w:name w:val="footnote text"/>
    <w:basedOn w:val="Normal"/>
    <w:link w:val="TextonotapieCar"/>
    <w:uiPriority w:val="99"/>
    <w:semiHidden/>
    <w:unhideWhenUsed/>
    <w:rsid w:val="00E62A3A"/>
    <w:rPr>
      <w:sz w:val="20"/>
      <w:szCs w:val="20"/>
    </w:rPr>
  </w:style>
  <w:style w:type="character" w:customStyle="1" w:styleId="TextonotapieCar">
    <w:name w:val="Texto nota pie Car"/>
    <w:basedOn w:val="Fuentedeprrafopredeter"/>
    <w:link w:val="Textonotapie"/>
    <w:uiPriority w:val="99"/>
    <w:semiHidden/>
    <w:rsid w:val="00E62A3A"/>
    <w:rPr>
      <w:sz w:val="20"/>
      <w:szCs w:val="20"/>
    </w:rPr>
  </w:style>
  <w:style w:type="character" w:styleId="Refdenotaalpie">
    <w:name w:val="footnote reference"/>
    <w:basedOn w:val="Fuentedeprrafopredeter"/>
    <w:uiPriority w:val="99"/>
    <w:semiHidden/>
    <w:unhideWhenUsed/>
    <w:rsid w:val="00E62A3A"/>
    <w:rPr>
      <w:vertAlign w:val="superscript"/>
    </w:rPr>
  </w:style>
  <w:style w:type="paragraph" w:styleId="Prrafodelista">
    <w:name w:val="List Paragraph"/>
    <w:basedOn w:val="Normal"/>
    <w:uiPriority w:val="34"/>
    <w:qFormat/>
    <w:rsid w:val="00AB299A"/>
    <w:pPr>
      <w:ind w:left="720"/>
      <w:contextualSpacing/>
    </w:pPr>
  </w:style>
  <w:style w:type="character" w:customStyle="1" w:styleId="apple-converted-space">
    <w:name w:val="apple-converted-space"/>
    <w:basedOn w:val="Fuentedeprrafopredeter"/>
    <w:rsid w:val="006251CE"/>
  </w:style>
  <w:style w:type="paragraph" w:styleId="NormalWeb">
    <w:name w:val="Normal (Web)"/>
    <w:basedOn w:val="Normal"/>
    <w:uiPriority w:val="99"/>
    <w:semiHidden/>
    <w:unhideWhenUsed/>
    <w:rsid w:val="00675589"/>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675589"/>
    <w:rPr>
      <w:i/>
      <w:iCs/>
    </w:rPr>
  </w:style>
  <w:style w:type="character" w:styleId="Textoennegrita">
    <w:name w:val="Strong"/>
    <w:basedOn w:val="Fuentedeprrafopredeter"/>
    <w:uiPriority w:val="22"/>
    <w:qFormat/>
    <w:rsid w:val="0067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rioconsultores@yahoo.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utados.gob.mx/LeyesBiblio/pdf/LIS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6F02-E707-4F2C-BB51-98B0F90A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1281</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 y Lic ALAN OMAR DEL RIO ORTIZ</dc:creator>
  <cp:keywords/>
  <dc:description/>
  <cp:lastModifiedBy>M.F. C.P.C. y Lic ALAN OMAR DEL RIO ORTIZ</cp:lastModifiedBy>
  <cp:revision>13</cp:revision>
  <dcterms:created xsi:type="dcterms:W3CDTF">2018-02-28T17:34:00Z</dcterms:created>
  <dcterms:modified xsi:type="dcterms:W3CDTF">2018-03-07T18:06:00Z</dcterms:modified>
</cp:coreProperties>
</file>